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D47395C" w14:textId="2F9AE201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10706B39" w14:textId="14690FBF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Integrovaný regionálny operačný program</w:t>
      </w:r>
    </w:p>
    <w:p w14:paraId="43CE134B" w14:textId="64D24B19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2014 – 2020</w:t>
      </w:r>
    </w:p>
    <w:p w14:paraId="53C6F6D1" w14:textId="4B0EB32F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Prioritná os 5 Miestny rozvoj vedený komunitou</w:t>
      </w:r>
    </w:p>
    <w:p w14:paraId="12F79036" w14:textId="0DFCF090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3E642AC1" w14:textId="56392ED2" w:rsidR="007900C1" w:rsidRPr="009B0208" w:rsidRDefault="00B505EC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Špecifikácia rozsahu oprávnených aktivít a oprávnených výdavkov</w:t>
      </w:r>
    </w:p>
    <w:p w14:paraId="23C8FE5D" w14:textId="64102B30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Vzor č. </w:t>
      </w:r>
      <w:sdt>
        <w:sdtPr>
          <w:rPr>
            <w:rFonts w:asciiTheme="minorHAnsi" w:hAnsiTheme="minorHAnsi" w:cstheme="minorHAnsi"/>
            <w:b/>
            <w:color w:val="1F497D"/>
            <w:sz w:val="36"/>
            <w:szCs w:val="36"/>
          </w:rPr>
          <w:alias w:val="Poradové číslo vzoru"/>
          <w:tag w:val="Poradové číslo vzoru"/>
          <w:id w:val="-1009137634"/>
          <w:placeholder>
            <w:docPart w:val="CAD741CA88794FA7AFEB1B6FB0AD75E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Content>
          <w:r w:rsidR="000E52FF" w:rsidRPr="009B0208">
            <w:rPr>
              <w:rFonts w:asciiTheme="minorHAnsi" w:hAnsiTheme="minorHAnsi" w:cstheme="minorHAnsi"/>
              <w:b/>
              <w:color w:val="1F497D"/>
              <w:sz w:val="36"/>
              <w:szCs w:val="36"/>
            </w:rPr>
            <w:t>2</w:t>
          </w:r>
        </w:sdtContent>
      </w:sdt>
    </w:p>
    <w:p w14:paraId="70D2FDDD" w14:textId="2F9AE201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230896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verzia </w:t>
      </w:r>
      <w:sdt>
        <w:sdtPr>
          <w:rPr>
            <w:rFonts w:asciiTheme="minorHAnsi" w:hAnsiTheme="minorHAnsi" w:cstheme="minorHAnsi"/>
            <w:b/>
            <w:color w:val="1F497D"/>
            <w:sz w:val="36"/>
            <w:szCs w:val="36"/>
          </w:rPr>
          <w:alias w:val="Poradové číslo vzoru"/>
          <w:tag w:val="Poradové číslo vzoru"/>
          <w:id w:val="-1645188027"/>
          <w:placeholder>
            <w:docPart w:val="63456937C472452AA8BF3E5DFC6C831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Content>
          <w:r w:rsidR="00E64C0E" w:rsidRPr="00230896">
            <w:rPr>
              <w:rFonts w:asciiTheme="minorHAnsi" w:hAnsiTheme="minorHAnsi" w:cstheme="minorHAnsi"/>
              <w:b/>
              <w:color w:val="1F497D"/>
              <w:sz w:val="36"/>
              <w:szCs w:val="36"/>
            </w:rPr>
            <w:t>2</w:t>
          </w:r>
        </w:sdtContent>
      </w:sdt>
    </w:p>
    <w:p w14:paraId="6961FD72" w14:textId="1E72D61C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6F44E97C" w14:textId="4BED8ECC" w:rsidR="007900C1" w:rsidRPr="009B0208" w:rsidRDefault="007900C1" w:rsidP="007900C1">
      <w:pPr>
        <w:spacing w:before="120" w:after="120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Určené pre: Miestne akčné skupiny (MAS)</w:t>
      </w:r>
    </w:p>
    <w:p w14:paraId="41BE298A" w14:textId="5C2E04B7" w:rsidR="007900C1" w:rsidRPr="009B0208" w:rsidRDefault="007900C1" w:rsidP="007900C1">
      <w:pPr>
        <w:spacing w:before="120" w:after="120"/>
        <w:ind w:left="1843" w:hanging="1843"/>
        <w:jc w:val="both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Záväznosť:</w:t>
      </w: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ab/>
        <w:t>Vzor je pre MAS záväzný.</w:t>
      </w:r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0FBBFE12" w14:textId="77777777" w:rsidR="00CC1FFC" w:rsidRDefault="00CC1FFC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3A0EA69F" w14:textId="77777777" w:rsidR="00CC1FFC" w:rsidRDefault="00CC1FFC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5F1AF06F" w14:textId="77777777" w:rsidR="00CC1FFC" w:rsidRDefault="00CC1FFC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786C7E3" w14:textId="77777777" w:rsidR="00CC1FFC" w:rsidRDefault="00CC1FFC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78AF2913" w14:textId="77777777" w:rsidR="00CC1FFC" w:rsidRDefault="00CC1FFC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lastRenderedPageBreak/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12B32608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8FCA15A" w14:textId="137B56FF" w:rsidR="00937035" w:rsidRPr="009B0208" w:rsidRDefault="00937035">
      <w:pPr>
        <w:rPr>
          <w:rFonts w:asciiTheme="minorHAnsi" w:hAnsiTheme="minorHAnsi" w:cstheme="minorHAnsi"/>
        </w:r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638"/>
        <w:gridCol w:w="9072"/>
      </w:tblGrid>
      <w:tr w:rsidR="00856D01" w:rsidRPr="009B0208" w14:paraId="3611E7E6" w14:textId="77777777" w:rsidTr="00CC1F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398C031" w14:textId="07378BD8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06EB94DB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FA430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0606339F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6BA5972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B1. Investície do cyklistických trás a súvisiacej podpornej infraštruktúry</w:t>
            </w:r>
          </w:p>
        </w:tc>
      </w:tr>
      <w:tr w:rsidR="00856D01" w:rsidRPr="009B0208" w14:paraId="7A9C422F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6F71FF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41934D2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 cyklistických trás zabezpečujúcich dopravu osôb do a zo zamestnania alebo k verejným službám,</w:t>
            </w:r>
          </w:p>
          <w:p w14:paraId="4B04CBDB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rekonštrukcia cyklistických trás zabezpečujúcich dopravu osôb do a zo zamestnania alebo k verejným službám,</w:t>
            </w:r>
          </w:p>
          <w:p w14:paraId="120D6AD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verejného osvetlenia v priamej nadväznosti na výstavbu, alebo rekonštrukciu cyklotrasy,</w:t>
            </w:r>
          </w:p>
          <w:p w14:paraId="27C8DBF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vyhradenie jazdných pruhov pre cyklistov,</w:t>
            </w:r>
          </w:p>
          <w:p w14:paraId="5FAAE04D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• Investície do doplnkovej infraštruktúry -  chránené parkoviská pre bicykle,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cyklostojany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, nabíjacie stanice pre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, odpočívadlá,</w:t>
            </w:r>
          </w:p>
          <w:p w14:paraId="0A7581AB" w14:textId="77777777" w:rsidR="00856D01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systémy automatickej požičovne bicyklov, hygienické zariadenia</w:t>
            </w:r>
          </w:p>
          <w:p w14:paraId="5D03D936" w14:textId="77777777" w:rsidR="00E214FF" w:rsidRDefault="00E214FF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7B0D06B" w14:textId="77777777" w:rsidR="00E214FF" w:rsidRPr="00DE6162" w:rsidRDefault="00E214FF" w:rsidP="00E214FF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Pozn. cyklistické trasy a s nimi súvisiaca doplnková infraštruktúra nie sú oprávnené v rámci tejto aktivity, v prípade, že ide iba o cykloturistickú trasu určenú na relax,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bez napojenia na cyklotrasu zabezpečujúcu dopravu osôb do a zo zamestnania alebo k verejným službám</w:t>
            </w:r>
          </w:p>
          <w:p w14:paraId="553896F9" w14:textId="77777777" w:rsidR="00E214FF" w:rsidRPr="00DE6162" w:rsidRDefault="00E214FF" w:rsidP="00E214FF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704C344" w14:textId="77777777" w:rsidR="00E214FF" w:rsidRDefault="00E214FF" w:rsidP="00E214FF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Majetok obstaraný v rámci projektu nemôže žiadateľ bez predchádzajúceho písomného súhlasu MAS a Riadiaceho orgánu pre IROP prenajímať tretím osobám.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čiastočne na účely vlastnej činnosti žiadateľa (napr. vo výrobnom procese alebo za účelom poskytovania služieb) a čiastočne prenajímaný alebo inak prenechávaný do užívania iným subjektom).</w:t>
            </w:r>
          </w:p>
          <w:p w14:paraId="396BE0CF" w14:textId="58FC2AD3" w:rsidR="00E214FF" w:rsidRPr="009B0208" w:rsidRDefault="00E214FF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470FCD22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7A3EED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B334B" w:rsidRPr="009B0208" w14:paraId="61E0A355" w14:textId="77777777" w:rsidTr="008B334B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43D6F50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9072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3E4215D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6AD4AF87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1E6D6B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FC7CE00" w14:textId="016AB8A8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nabíjacie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elektrostanice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softvér pre riadenie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cyklopremávky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pod.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4FFEDDCB" w14:textId="7BEEF107" w:rsidR="00856D01" w:rsidRPr="009B0208" w:rsidRDefault="00856D01" w:rsidP="005A67D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nabíjacie </w:t>
            </w:r>
            <w:proofErr w:type="spellStart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elektrostanice</w:t>
            </w:r>
            <w:proofErr w:type="spellEnd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pre softvér na riadenie </w:t>
            </w:r>
            <w:proofErr w:type="spellStart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cyklopremávky</w:t>
            </w:r>
            <w:proofErr w:type="spellEnd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pod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.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11A8E08C" w14:textId="77777777" w:rsidR="005A67D1" w:rsidRPr="009B0208" w:rsidRDefault="005A67D1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F368D39" w14:textId="520D4737" w:rsidR="005A67D1" w:rsidRPr="009B0208" w:rsidRDefault="005A67D1" w:rsidP="005265E1">
            <w:pPr>
              <w:pStyle w:val="Default"/>
              <w:widowControl w:val="0"/>
              <w:ind w:left="7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  <w:tr w:rsidR="00856D01" w:rsidRPr="009B0208" w14:paraId="65056D80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32BC485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1EEAC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 nemotorovej dopravy, ako napríklad:</w:t>
            </w:r>
          </w:p>
          <w:p w14:paraId="7A217A34" w14:textId="4A64DD26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cyklistických komunikácií,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(samostatná cyklistická cestička, samostatný cyklistický pruh,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spoločná cestička pre chodcov a cyklistov),</w:t>
            </w:r>
          </w:p>
          <w:p w14:paraId="715A19A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doplnkovej cyklistickej infraštruktúry (chránené parkoviská pre bicykle (kryté stojany, automatické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parkovacie systémy, a pod.),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cyklostojany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nabíjacie stanice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(ako zabudované stroje, prístroje a zariadenia, ktoré sú súčasťou stavby), hygienické zariadenia, cyklistické odpočívadlo a pod.),</w:t>
            </w:r>
          </w:p>
          <w:p w14:paraId="2896B96B" w14:textId="1A84CDA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vybavenie cyklistickej komunikácie (schodiskové žliabky, osvetlenie, cyklistické spomaľovače a pod.), ako súčasť vyššie uvedených aktivít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3953F5B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 pre nemotorovú dopravu s možnosťou celoročnej prevádzky, vrátane vybavenia cyklistickej komunikácie (osvetlenie, cyklistické spomaľovače a pod.), sadových úprav a zelene,</w:t>
            </w:r>
          </w:p>
        </w:tc>
      </w:tr>
      <w:tr w:rsidR="00856D01" w:rsidRPr="009B0208" w14:paraId="645A9E3F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C46BE6A" w14:textId="5D2D416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03A619" w14:textId="73D352A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hygienické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zariadenia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,</w:t>
            </w:r>
          </w:p>
          <w:p w14:paraId="6407F2C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výpočtová a telekomunikačná technika bezprostredne súvisiaca s implementáciou projektu,</w:t>
            </w:r>
          </w:p>
          <w:p w14:paraId="1FF8E8FA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2B0E72E6" w14:textId="212C17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komunikačná infraštruktúra</w:t>
            </w:r>
            <w:r w:rsidR="002A4B1F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(napr. v súvislosti s (audio)vizuálnym monitorovaním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cyklochodníkov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cyklistických komunikácií, v súvislosti s nabíjacími stanicami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so systémami automatickej požičovne bicyklov a pod.)</w:t>
            </w:r>
          </w:p>
        </w:tc>
      </w:tr>
      <w:tr w:rsidR="00856D01" w:rsidRPr="009B0208" w14:paraId="01E26907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375B5A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5C758B5" w14:textId="12825F6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hygienické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zariadenia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,</w:t>
            </w:r>
          </w:p>
          <w:p w14:paraId="5BA2EDB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výpočtová a telekomunikačná technika bezprostredne súvisiaca s implementáciou projektu,</w:t>
            </w:r>
          </w:p>
          <w:p w14:paraId="1485AC9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673BF2E7" w14:textId="00FCD700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komunikačná infraštruktúra</w:t>
            </w:r>
            <w:r w:rsidR="002A4B1F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(napr. v súvislosti s (audio)vizuálnym monitorovaním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cyklochodníkov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cyklistických komunikácií, v súvislosti s nabíjacími stanicami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so systémami automatickej požičovne bicyklov a pod.)</w:t>
            </w:r>
          </w:p>
        </w:tc>
      </w:tr>
      <w:tr w:rsidR="00856D01" w:rsidRPr="009B0208" w14:paraId="4387316C" w14:textId="77777777" w:rsidTr="00CC1FFC">
        <w:trPr>
          <w:trHeight w:val="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5E3F49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Dopravné prostriedky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52BA796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bicykle – nemotorové vozidlá pohybujúce sa pomocou ľudskej sily šliapaním do pedálov, ktoré sú ovládané cyklistom pomocou riadidiel tak, že sedí na sedadle bicykla a drží sa riadidiel, pričom pri jazde má cyklista nohy na pedáloch,</w:t>
            </w:r>
          </w:p>
          <w:p w14:paraId="26C92F10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bicykle s pomocným motorčekom – bicykle, pričom na pohon okrem ľudskej sily slúži aj pomocný motorček,</w:t>
            </w:r>
          </w:p>
          <w:p w14:paraId="0F1F3F2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kolobežky – nemotorové vozidlá pohybujúce sa pomocou ľudskej sily nožným odrážaním, ktoré sú ovládané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kolobežkárom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pomocou riadidiel tak, že sedí na sedadle kolobežky alebo stojí a drží sa riadidiel,</w:t>
            </w:r>
          </w:p>
          <w:p w14:paraId="3CC743F7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kolobežky s pomocným motorčekom – kolobežky, pričom na pohon okrem ľudskej sily slúži aj pomocný motorček,</w:t>
            </w:r>
          </w:p>
        </w:tc>
      </w:tr>
    </w:tbl>
    <w:p w14:paraId="347FDC25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45BDE793" w14:textId="77777777" w:rsidR="00856D01" w:rsidRPr="009B0208" w:rsidRDefault="00856D01" w:rsidP="00595901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C5BFA" w14:textId="77777777" w:rsidR="00523F4C" w:rsidRDefault="00523F4C" w:rsidP="007900C1">
      <w:r>
        <w:separator/>
      </w:r>
    </w:p>
  </w:endnote>
  <w:endnote w:type="continuationSeparator" w:id="0">
    <w:p w14:paraId="357B2166" w14:textId="77777777" w:rsidR="00523F4C" w:rsidRDefault="00523F4C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82458" w14:textId="77777777" w:rsidR="00523F4C" w:rsidRDefault="00523F4C" w:rsidP="007900C1">
      <w:r>
        <w:separator/>
      </w:r>
    </w:p>
  </w:footnote>
  <w:footnote w:type="continuationSeparator" w:id="0">
    <w:p w14:paraId="036DBAFA" w14:textId="77777777" w:rsidR="00523F4C" w:rsidRDefault="00523F4C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50349E40" w:rsidR="00DB2968" w:rsidRDefault="00C13501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3C318979" w14:textId="7528CAF2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17ED900D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7912775">
    <w:abstractNumId w:val="1"/>
  </w:num>
  <w:num w:numId="2" w16cid:durableId="1447626552">
    <w:abstractNumId w:val="1"/>
  </w:num>
  <w:num w:numId="3" w16cid:durableId="233591854">
    <w:abstractNumId w:val="0"/>
  </w:num>
  <w:num w:numId="4" w16cid:durableId="2070419486">
    <w:abstractNumId w:val="5"/>
  </w:num>
  <w:num w:numId="5" w16cid:durableId="999578892">
    <w:abstractNumId w:val="7"/>
  </w:num>
  <w:num w:numId="6" w16cid:durableId="2076781555">
    <w:abstractNumId w:val="8"/>
  </w:num>
  <w:num w:numId="7" w16cid:durableId="1856120">
    <w:abstractNumId w:val="6"/>
  </w:num>
  <w:num w:numId="8" w16cid:durableId="1622496595">
    <w:abstractNumId w:val="2"/>
  </w:num>
  <w:num w:numId="9" w16cid:durableId="1857427899">
    <w:abstractNumId w:val="4"/>
  </w:num>
  <w:num w:numId="10" w16cid:durableId="257226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05997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73E3B"/>
    <w:rsid w:val="00286B67"/>
    <w:rsid w:val="00290A29"/>
    <w:rsid w:val="002A4B1F"/>
    <w:rsid w:val="002B76C5"/>
    <w:rsid w:val="002D45AB"/>
    <w:rsid w:val="002F25E6"/>
    <w:rsid w:val="00301FE1"/>
    <w:rsid w:val="00303F12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06AF7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3F4C"/>
    <w:rsid w:val="005265E1"/>
    <w:rsid w:val="00545CDC"/>
    <w:rsid w:val="00553CA8"/>
    <w:rsid w:val="00595901"/>
    <w:rsid w:val="005A67D1"/>
    <w:rsid w:val="005A7193"/>
    <w:rsid w:val="005E412A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D3AE0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04927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1FFC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E10467"/>
    <w:rsid w:val="00E20668"/>
    <w:rsid w:val="00E214FF"/>
    <w:rsid w:val="00E25773"/>
    <w:rsid w:val="00E54884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AD741CA88794FA7AFEB1B6FB0AD75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696B05-7D60-4971-8909-4E5E3B8F49C8}"/>
      </w:docPartPr>
      <w:docPartBody>
        <w:p w:rsidR="00C239CD" w:rsidRDefault="00FA3451" w:rsidP="00FA3451">
          <w:pPr>
            <w:pStyle w:val="CAD741CA88794FA7AFEB1B6FB0AD75E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63456937C472452AA8BF3E5DFC6C83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5BF8A6-5300-4AE9-ACDC-D84426F70104}"/>
      </w:docPartPr>
      <w:docPartBody>
        <w:p w:rsidR="00C239CD" w:rsidRDefault="00FA3451" w:rsidP="00FA3451">
          <w:pPr>
            <w:pStyle w:val="63456937C472452AA8BF3E5DFC6C8317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451"/>
    <w:rsid w:val="00140015"/>
    <w:rsid w:val="00227AF1"/>
    <w:rsid w:val="002F6BEE"/>
    <w:rsid w:val="0032715C"/>
    <w:rsid w:val="003C4E5E"/>
    <w:rsid w:val="003D12AD"/>
    <w:rsid w:val="003D1E98"/>
    <w:rsid w:val="003E08B2"/>
    <w:rsid w:val="00417A6B"/>
    <w:rsid w:val="004A5A74"/>
    <w:rsid w:val="004E1C50"/>
    <w:rsid w:val="00591493"/>
    <w:rsid w:val="00652C1E"/>
    <w:rsid w:val="006B0230"/>
    <w:rsid w:val="006C7C1E"/>
    <w:rsid w:val="00710083"/>
    <w:rsid w:val="007F4CA2"/>
    <w:rsid w:val="008509E2"/>
    <w:rsid w:val="00855D39"/>
    <w:rsid w:val="0099100D"/>
    <w:rsid w:val="00AF4E5B"/>
    <w:rsid w:val="00BC5E7D"/>
    <w:rsid w:val="00BC7A4A"/>
    <w:rsid w:val="00C15262"/>
    <w:rsid w:val="00C239CD"/>
    <w:rsid w:val="00C61EF9"/>
    <w:rsid w:val="00CC3EBF"/>
    <w:rsid w:val="00D07F7A"/>
    <w:rsid w:val="00D64974"/>
    <w:rsid w:val="00DE6D6B"/>
    <w:rsid w:val="00EA43ED"/>
    <w:rsid w:val="00F306EB"/>
    <w:rsid w:val="00F6380C"/>
    <w:rsid w:val="00F835B9"/>
    <w:rsid w:val="00FA3451"/>
    <w:rsid w:val="00FB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A3451"/>
    <w:rPr>
      <w:color w:val="808080"/>
    </w:rPr>
  </w:style>
  <w:style w:type="paragraph" w:customStyle="1" w:styleId="CAD741CA88794FA7AFEB1B6FB0AD75E9">
    <w:name w:val="CAD741CA88794FA7AFEB1B6FB0AD75E9"/>
    <w:rsid w:val="00FA3451"/>
  </w:style>
  <w:style w:type="paragraph" w:customStyle="1" w:styleId="63456937C472452AA8BF3E5DFC6C8317">
    <w:name w:val="63456937C472452AA8BF3E5DFC6C8317"/>
    <w:rsid w:val="00FA34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57E31-16E6-42F8-AD81-4B20611EB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2020-02-12T16:40:00Z</dcterms:created>
  <dcterms:modified xsi:type="dcterms:W3CDTF">2023-01-27T07:10:00Z</dcterms:modified>
</cp:coreProperties>
</file>