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4BC4F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438FABD" w14:textId="77777777" w:rsidR="007900C1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8F80EE9" w14:textId="77777777" w:rsidR="00A640A4" w:rsidRDefault="00A640A4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F60C9D9" w14:textId="77777777" w:rsidR="00A640A4" w:rsidRPr="009B0208" w:rsidRDefault="00A640A4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4F2C756E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77A1D08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15C8D303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5453CE2A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2E190450" w14:textId="77777777" w:rsidR="007900C1" w:rsidRPr="009B0208" w:rsidRDefault="00C37F98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</w:t>
      </w:r>
      <w:r w:rsidR="00A640A4">
        <w:rPr>
          <w:rFonts w:asciiTheme="minorHAnsi" w:hAnsiTheme="minorHAnsi" w:cstheme="minorHAnsi"/>
          <w:b/>
          <w:color w:val="1F497D"/>
          <w:sz w:val="36"/>
          <w:szCs w:val="36"/>
        </w:rPr>
        <w:t>r</w:t>
      </w:r>
      <w:r w:rsidR="00B505EC" w:rsidRPr="009B0208">
        <w:rPr>
          <w:rFonts w:asciiTheme="minorHAnsi" w:hAnsiTheme="minorHAnsi" w:cstheme="minorHAnsi"/>
          <w:b/>
          <w:color w:val="1F497D"/>
          <w:sz w:val="36"/>
          <w:szCs w:val="36"/>
        </w:rPr>
        <w:t>ávnených aktivít a oprávnených výdavkov</w:t>
      </w:r>
    </w:p>
    <w:p w14:paraId="10C74FDA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494F090E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781B3407" w14:textId="77777777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default" r:id="rId8"/>
          <w:footerReference w:type="default" r:id="rId9"/>
          <w:headerReference w:type="first" r:id="rId10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p w14:paraId="46A7D77F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lastRenderedPageBreak/>
        <w:t>Špecifikácia rozsahu oprávnenej aktivity a oprávnených výdavkov</w:t>
      </w:r>
    </w:p>
    <w:p w14:paraId="3002ECCB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7B42F06C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0CCEA637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520E66C7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0D89D0C4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B1A94F7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5D1B68D" w14:textId="77777777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19550B94" w14:textId="77777777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6EA9E3C3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0693961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6F2D47D" w14:textId="77777777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je</w:t>
            </w:r>
            <w:proofErr w:type="spellEnd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</w:t>
            </w:r>
            <w:proofErr w:type="spellEnd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6ECB478C" w14:textId="77777777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0784AF36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08426D15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0084" w:rsidRPr="009B0208" w14:paraId="2452DFDA" w14:textId="77777777" w:rsidTr="00C51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5F7686" w14:textId="77777777" w:rsidR="00850084" w:rsidRPr="009B0208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5.1.2 – Zlepšenie udržateľných vzťahov medzi vidieckymi rozvojovými centrami a ich zázemím vo verejných službách a vo verejných infraštruktúrach</w:t>
            </w:r>
          </w:p>
        </w:tc>
      </w:tr>
      <w:tr w:rsidR="00850084" w:rsidRPr="009B0208" w14:paraId="4F09E9F6" w14:textId="77777777" w:rsidTr="00C5164E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A627AB3" w14:textId="77777777" w:rsidR="00850084" w:rsidRPr="009B0208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0084" w:rsidRPr="009B0208" w14:paraId="14BC27B0" w14:textId="77777777" w:rsidTr="00C5164E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A616067" w14:textId="77777777" w:rsidR="00850084" w:rsidRPr="009B0208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0084" w:rsidRPr="009B0208" w14:paraId="024EEC74" w14:textId="77777777" w:rsidTr="00C5164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4B3D5E" w14:textId="77777777" w:rsidR="00850084" w:rsidRPr="009B0208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E7DFBFE" w14:textId="77777777" w:rsidR="00850084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 modernizácia existujúcich zariadení pre poskytovanie komunitných sociálnych služieb vrátane materiálno-technického vybavenia,</w:t>
            </w:r>
            <w:r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123905A2" w14:textId="77777777" w:rsidR="00850084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3099E0D5" w14:textId="77777777" w:rsidR="00850084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Popis oprávnenej aktivity sa vzťahuje aj na  denné stacionáre pre seniorov </w:t>
            </w:r>
          </w:p>
          <w:p w14:paraId="1A532213" w14:textId="77777777" w:rsidR="00850084" w:rsidRPr="009B0208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0084" w:rsidRPr="009B0208" w14:paraId="11838D2F" w14:textId="77777777" w:rsidTr="00C5164E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8D1BE70" w14:textId="77777777" w:rsidR="00850084" w:rsidRPr="009B0208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0084" w:rsidRPr="009B0208" w14:paraId="4F50A0BC" w14:textId="77777777" w:rsidTr="00C5164E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ECBFAEB" w14:textId="77777777" w:rsidR="00850084" w:rsidRPr="009B0208" w:rsidRDefault="00850084" w:rsidP="00C5164E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72660812" w14:textId="77777777" w:rsidR="00850084" w:rsidRPr="009B0208" w:rsidRDefault="00850084" w:rsidP="00C516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0084" w:rsidRPr="009B0208" w14:paraId="76B84CB4" w14:textId="77777777" w:rsidTr="00C5164E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3326C" w14:textId="77777777" w:rsidR="00850084" w:rsidRPr="009B0208" w:rsidRDefault="00850084" w:rsidP="00C5164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–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E22492D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a zariadení komunitných sociálnych služieb, </w:t>
            </w:r>
          </w:p>
          <w:p w14:paraId="445E2B6C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 modernizácia objektov a zariadení komunitných sociálnych služieb, </w:t>
            </w:r>
          </w:p>
          <w:p w14:paraId="6BB4B389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objektov a zariadení komunitných sociálnych služieb, </w:t>
            </w:r>
          </w:p>
          <w:p w14:paraId="0E587ECA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 zeleň,</w:t>
            </w:r>
          </w:p>
          <w:p w14:paraId="7404D423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 stavebným úpravám budov rekonštrukcia stavieb so zameraním na zvyšovanie energetickej hospodárnosti budov:</w:t>
            </w:r>
          </w:p>
          <w:p w14:paraId="784B2ADD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 výmena strešného plášťa vrátane strešnej krytiny, resp. povrchu plochých striech, oprava a výmena výplňových konštrukcií, opravy technického, energetického alebo technologického vybavenia a zariadení objektu, ako aj výmena jeho súčastí (najmä výmena zdrojov tepla, vykurovacích telies a vnútorných inštalačných rozvodov),</w:t>
            </w:r>
          </w:p>
        </w:tc>
      </w:tr>
      <w:tr w:rsidR="00850084" w:rsidRPr="009B0208" w14:paraId="5D82006D" w14:textId="77777777" w:rsidTr="00C5164E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7638F4D" w14:textId="77777777" w:rsidR="00850084" w:rsidRPr="009B0208" w:rsidRDefault="00850084" w:rsidP="00C5164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 súbory hnuteľných vecí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17D44D4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1DC65A46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 zariadení vrátane prvého zaškolenia obsluhy (ak relevantné)</w:t>
            </w:r>
          </w:p>
        </w:tc>
      </w:tr>
      <w:tr w:rsidR="00850084" w:rsidRPr="009B0208" w14:paraId="7E355D7C" w14:textId="77777777" w:rsidTr="00C5164E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F573CFF" w14:textId="77777777" w:rsidR="00850084" w:rsidRPr="009B0208" w:rsidRDefault="00850084" w:rsidP="00C5164E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0CBF5F4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1BA75A06" w14:textId="77777777" w:rsidR="00850084" w:rsidRPr="009B0208" w:rsidRDefault="00850084" w:rsidP="00C5164E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 zariadení vrátane prvého zaškolenia obsluhy (ak relevantné)</w:t>
            </w:r>
          </w:p>
        </w:tc>
      </w:tr>
    </w:tbl>
    <w:p w14:paraId="60505EEC" w14:textId="5AC08735" w:rsidR="00856D01" w:rsidRDefault="00856D01" w:rsidP="004B5802">
      <w:pPr>
        <w:rPr>
          <w:rFonts w:asciiTheme="minorHAnsi" w:hAnsiTheme="minorHAnsi" w:cstheme="minorHAnsi"/>
        </w:rPr>
      </w:pPr>
    </w:p>
    <w:p w14:paraId="7E55B347" w14:textId="77777777" w:rsidR="00A31BDC" w:rsidRDefault="00A31BDC" w:rsidP="00A31BDC">
      <w:pPr>
        <w:ind w:left="-284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Doplnkový výklad k oprávnenosti aktivity C1:</w:t>
      </w:r>
    </w:p>
    <w:p w14:paraId="38CB9EB5" w14:textId="77777777" w:rsidR="00A31BDC" w:rsidRDefault="00A31BDC" w:rsidP="00A31BDC">
      <w:pPr>
        <w:rPr>
          <w:rFonts w:asciiTheme="minorHAnsi" w:hAnsiTheme="minorHAnsi" w:cstheme="minorHAnsi"/>
        </w:rPr>
      </w:pPr>
    </w:p>
    <w:p w14:paraId="76945F97" w14:textId="77777777" w:rsidR="00A31BDC" w:rsidRDefault="00A31BDC" w:rsidP="00A31BDC">
      <w:pPr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Komunitné sociálne služby podporované v rámci aktivity C1 sú chápané širšie a neobmedzujú sa len na sociálne služby tak, ako ich definuje zákon č. 448/2008 Z. z. Zároveň však platí, že podporované nebudú akékoľvek komunitné aktivity. Kľúčové je zameranie na pomoc sociálne vylúčeným, resp. znevýhodneným osobám. Projekt predkladaný v rámci aktivity C1 tak musí mať zachovaný sociálny aspekt. Zároveň platí, že investície do komunitných aktivít sú oprávnené, pokiaľ sú zamerané na znevýhodnené skupiny a pokiaľ analýza v Stratégii implementácie CLLD pre dané územie definuje tieto konkrétne skupiny, napr. matky s deťmi, ako znevýhodnené skupiny.</w:t>
      </w:r>
    </w:p>
    <w:p w14:paraId="270FEED2" w14:textId="35241BE4" w:rsidR="00A31BDC" w:rsidRPr="00C1645F" w:rsidRDefault="00A31BDC" w:rsidP="00A31BD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9"/>
          <w:szCs w:val="19"/>
        </w:rPr>
        <w:t>Príklad: Komunitné aktivity, napr. aktivity futbalového klubu sú oprávnené  v prípade, že ide o klub združujúcich telesne postihnutých športovcov, resp. iné znevýhodnené skupiny osôb. V prípade, že ide o klasický futbalový klub, tak takéto komunitné aktivity nie sú v rámci C1 podporované.</w:t>
      </w:r>
    </w:p>
    <w:sectPr w:rsidR="00A31BDC" w:rsidRPr="00C1645F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59F81" w14:textId="77777777" w:rsidR="006E3D52" w:rsidRDefault="006E3D52" w:rsidP="007900C1">
      <w:r>
        <w:separator/>
      </w:r>
    </w:p>
  </w:endnote>
  <w:endnote w:type="continuationSeparator" w:id="0">
    <w:p w14:paraId="45B5CC0D" w14:textId="77777777" w:rsidR="006E3D52" w:rsidRDefault="006E3D52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AF20" w14:textId="77777777" w:rsidR="00A76425" w:rsidRDefault="00000000" w:rsidP="00437D96">
    <w:pPr>
      <w:pStyle w:val="Pta"/>
      <w:jc w:val="right"/>
    </w:pPr>
    <w:r>
      <w:rPr>
        <w:noProof/>
        <w:lang w:eastAsia="sk-SK"/>
      </w:rPr>
      <w:pict w14:anchorId="6CF63DDE">
        <v:line id="Rovná spojnica 11" o:spid="_x0000_s1025" style="position:absolute;left:0;text-align:left;flip:y;z-index:251669504;visibility:visible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<v:stroke joinstyle="miter"/>
        </v:line>
      </w:pict>
    </w:r>
  </w:p>
  <w:p w14:paraId="7546498B" w14:textId="77777777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Content>
        <w:r w:rsidR="00373C80">
          <w:fldChar w:fldCharType="begin"/>
        </w:r>
        <w:r>
          <w:instrText>PAGE   \* MERGEFORMAT</w:instrText>
        </w:r>
        <w:r w:rsidR="00373C80">
          <w:fldChar w:fldCharType="separate"/>
        </w:r>
        <w:r w:rsidR="00A60887">
          <w:rPr>
            <w:noProof/>
          </w:rPr>
          <w:t>4</w:t>
        </w:r>
        <w:r w:rsidR="00373C80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DBD85" w14:textId="77777777" w:rsidR="006E3D52" w:rsidRDefault="006E3D52" w:rsidP="007900C1">
      <w:r>
        <w:separator/>
      </w:r>
    </w:p>
  </w:footnote>
  <w:footnote w:type="continuationSeparator" w:id="0">
    <w:p w14:paraId="076ABD05" w14:textId="77777777" w:rsidR="006E3D52" w:rsidRDefault="006E3D52" w:rsidP="007900C1">
      <w:r>
        <w:continuationSeparator/>
      </w:r>
    </w:p>
  </w:footnote>
  <w:footnote w:id="1">
    <w:p w14:paraId="321655E0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C8A35" w14:textId="77777777" w:rsidR="00A76425" w:rsidRDefault="00B113D3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2F5F8838" wp14:editId="7EF98AD5">
          <wp:simplePos x="0" y="0"/>
          <wp:positionH relativeFrom="column">
            <wp:posOffset>1514475</wp:posOffset>
          </wp:positionH>
          <wp:positionV relativeFrom="paragraph">
            <wp:posOffset>-116205</wp:posOffset>
          </wp:positionV>
          <wp:extent cx="1704975" cy="395605"/>
          <wp:effectExtent l="0" t="0" r="9525" b="4445"/>
          <wp:wrapNone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64FF9F3" wp14:editId="0534C0C3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53D3B861" wp14:editId="7C553C46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DED424" w14:textId="77777777" w:rsidR="00A76425" w:rsidRDefault="00A764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0C87" w14:textId="77777777" w:rsidR="00A76425" w:rsidRDefault="00B113D3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0528" behindDoc="1" locked="0" layoutInCell="1" allowOverlap="1" wp14:anchorId="3DB051FA" wp14:editId="3045C60D">
          <wp:simplePos x="0" y="0"/>
          <wp:positionH relativeFrom="column">
            <wp:posOffset>1714500</wp:posOffset>
          </wp:positionH>
          <wp:positionV relativeFrom="paragraph">
            <wp:posOffset>-173355</wp:posOffset>
          </wp:positionV>
          <wp:extent cx="1704975" cy="395605"/>
          <wp:effectExtent l="0" t="0" r="9525" b="4445"/>
          <wp:wrapNone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7FCBBF94" wp14:editId="46818F52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3640EAF" wp14:editId="60943DDE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ABB7BE6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995FE" w14:textId="77777777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3912">
    <w:abstractNumId w:val="1"/>
  </w:num>
  <w:num w:numId="2" w16cid:durableId="416485401">
    <w:abstractNumId w:val="1"/>
  </w:num>
  <w:num w:numId="3" w16cid:durableId="332997991">
    <w:abstractNumId w:val="0"/>
  </w:num>
  <w:num w:numId="4" w16cid:durableId="2097095792">
    <w:abstractNumId w:val="5"/>
  </w:num>
  <w:num w:numId="5" w16cid:durableId="1435780017">
    <w:abstractNumId w:val="7"/>
  </w:num>
  <w:num w:numId="6" w16cid:durableId="903108054">
    <w:abstractNumId w:val="8"/>
  </w:num>
  <w:num w:numId="7" w16cid:durableId="1064839834">
    <w:abstractNumId w:val="6"/>
  </w:num>
  <w:num w:numId="8" w16cid:durableId="1725714082">
    <w:abstractNumId w:val="2"/>
  </w:num>
  <w:num w:numId="9" w16cid:durableId="600644759">
    <w:abstractNumId w:val="4"/>
  </w:num>
  <w:num w:numId="10" w16cid:durableId="7002766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2EDB"/>
    <w:rsid w:val="00106314"/>
    <w:rsid w:val="00113C2C"/>
    <w:rsid w:val="00114544"/>
    <w:rsid w:val="001334FC"/>
    <w:rsid w:val="00163A76"/>
    <w:rsid w:val="001663AC"/>
    <w:rsid w:val="001770B0"/>
    <w:rsid w:val="001A66A4"/>
    <w:rsid w:val="001B4D56"/>
    <w:rsid w:val="001C297B"/>
    <w:rsid w:val="001F08C9"/>
    <w:rsid w:val="00222486"/>
    <w:rsid w:val="00224D63"/>
    <w:rsid w:val="00242EBE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73C80"/>
    <w:rsid w:val="003850A7"/>
    <w:rsid w:val="00395583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54C07"/>
    <w:rsid w:val="00692E7A"/>
    <w:rsid w:val="006C0D2C"/>
    <w:rsid w:val="006E0BA1"/>
    <w:rsid w:val="006E2C53"/>
    <w:rsid w:val="006E3D52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0084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87513"/>
    <w:rsid w:val="00991D6C"/>
    <w:rsid w:val="009A1FA7"/>
    <w:rsid w:val="009A5787"/>
    <w:rsid w:val="009B0208"/>
    <w:rsid w:val="009D7016"/>
    <w:rsid w:val="009D7623"/>
    <w:rsid w:val="009E0F47"/>
    <w:rsid w:val="00A0441A"/>
    <w:rsid w:val="00A31BDC"/>
    <w:rsid w:val="00A60887"/>
    <w:rsid w:val="00A640A4"/>
    <w:rsid w:val="00A76425"/>
    <w:rsid w:val="00AD3328"/>
    <w:rsid w:val="00B0092A"/>
    <w:rsid w:val="00B113D3"/>
    <w:rsid w:val="00B24ED0"/>
    <w:rsid w:val="00B46148"/>
    <w:rsid w:val="00B505EC"/>
    <w:rsid w:val="00B73919"/>
    <w:rsid w:val="00B7415C"/>
    <w:rsid w:val="00B83214"/>
    <w:rsid w:val="00B97C29"/>
    <w:rsid w:val="00BA25DC"/>
    <w:rsid w:val="00BC6F27"/>
    <w:rsid w:val="00BF6595"/>
    <w:rsid w:val="00C1645F"/>
    <w:rsid w:val="00C37F98"/>
    <w:rsid w:val="00C9650B"/>
    <w:rsid w:val="00CB1901"/>
    <w:rsid w:val="00CC2386"/>
    <w:rsid w:val="00CC4058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DE407E"/>
    <w:rsid w:val="00E10467"/>
    <w:rsid w:val="00E20668"/>
    <w:rsid w:val="00E25773"/>
    <w:rsid w:val="00E63BB6"/>
    <w:rsid w:val="00E64C0E"/>
    <w:rsid w:val="00ED21AB"/>
    <w:rsid w:val="00F050EA"/>
    <w:rsid w:val="00F246B5"/>
    <w:rsid w:val="00F64E2F"/>
    <w:rsid w:val="00FA1257"/>
    <w:rsid w:val="00FC4269"/>
    <w:rsid w:val="00FC47FD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B96FF8"/>
  <w15:docId w15:val="{193082A2-4A1C-4B8C-9B45-8747337FA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7F1B3-9052-495C-BCF0-0C94FAB3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Miriam Tomová</cp:lastModifiedBy>
  <cp:revision>11</cp:revision>
  <dcterms:created xsi:type="dcterms:W3CDTF">2020-11-03T13:29:00Z</dcterms:created>
  <dcterms:modified xsi:type="dcterms:W3CDTF">2023-01-30T15:01:00Z</dcterms:modified>
</cp:coreProperties>
</file>