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7F" w:rsidRDefault="003E5A7F" w:rsidP="008C0C85">
      <w:pPr>
        <w:ind w:left="-426"/>
        <w:jc w:val="center"/>
        <w:rPr>
          <w:rFonts w:asciiTheme="minorHAnsi" w:hAnsiTheme="minorHAnsi" w:cstheme="minorHAnsi"/>
          <w:b/>
          <w:sz w:val="36"/>
        </w:rPr>
      </w:pPr>
    </w:p>
    <w:p w:rsidR="003E5A7F" w:rsidRDefault="003E5A7F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/>
      </w:tblPr>
      <w:tblGrid>
        <w:gridCol w:w="14601"/>
      </w:tblGrid>
      <w:tr w:rsidR="007A1D28" w:rsidRPr="009B0208" w:rsidTr="00773273">
        <w:tc>
          <w:tcPr>
            <w:tcW w:w="14601" w:type="dxa"/>
            <w:shd w:val="clear" w:color="auto" w:fill="A6A6A6" w:themeFill="background1" w:themeFillShade="A6"/>
          </w:tcPr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2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/>
      </w:tblPr>
      <w:tblGrid>
        <w:gridCol w:w="6063"/>
        <w:gridCol w:w="8647"/>
      </w:tblGrid>
      <w:tr w:rsidR="00856D01" w:rsidRPr="009B0208" w:rsidTr="00114544">
        <w:trPr>
          <w:cnfStyle w:val="100000000000"/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obstaraniehmotnéhomajetku pre účelytvorbypracovnýchmiest,</w:t>
            </w:r>
          </w:p>
          <w:p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nutnéstavebnotechnickéúpravybudovspojené s umiestnenímobstaranejtechnológie a/alebo s poskytovanímnových služieb,</w:t>
            </w:r>
          </w:p>
          <w:p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podporamarketingovýchaktivít,</w:t>
            </w:r>
          </w:p>
          <w:p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celásekcianeoprávnená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neoprávnenésúnasledovnédivízie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Ťažbauhlia a lignitu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zemnéhoplynu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Dobývaniekovovýchrúd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Priemyselnávýroba – neoprávnenésúnasledovnédivízie</w:t>
            </w:r>
          </w:p>
          <w:p w:rsidR="00F64E2F" w:rsidRPr="00D41226" w:rsidDel="00F0650A" w:rsidRDefault="00F64E2F" w:rsidP="00F64E2F">
            <w:pPr>
              <w:spacing w:after="40"/>
              <w:ind w:left="255"/>
              <w:rPr>
                <w:del w:id="0" w:author="Radomír Talpáš" w:date="2021-05-11T15:1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1" w:author="Radomír Talpáš" w:date="2021-05-11T15:18:00Z">
              <w:r w:rsidRPr="008C0C85" w:rsidDel="00F0650A">
                <w:rPr>
                  <w:rFonts w:asciiTheme="minorHAnsi" w:hAnsiTheme="minorHAnsi" w:cstheme="minorHAnsi"/>
                  <w:color w:val="FFFFFF" w:themeColor="background1"/>
                </w:rPr>
                <w:delText>Divízia 10 – Výroba potravín</w:delText>
              </w:r>
            </w:del>
          </w:p>
          <w:p w:rsidR="00F64E2F" w:rsidRPr="00D41226" w:rsidDel="00F0650A" w:rsidRDefault="00F64E2F" w:rsidP="00F64E2F">
            <w:pPr>
              <w:spacing w:after="40"/>
              <w:ind w:left="255"/>
              <w:rPr>
                <w:del w:id="2" w:author="Radomír Talpáš" w:date="2021-05-11T15:18:00Z"/>
                <w:rFonts w:asciiTheme="minorHAnsi" w:hAnsiTheme="minorHAnsi" w:cstheme="minorHAnsi"/>
                <w:color w:val="FFFFFF" w:themeColor="background1"/>
                <w:lang w:val="sk-SK"/>
              </w:rPr>
            </w:pPr>
            <w:del w:id="3" w:author="Radomír Talpáš" w:date="2021-05-11T15:18:00Z">
              <w:r w:rsidRPr="008C0C85" w:rsidDel="00F0650A">
                <w:rPr>
                  <w:rFonts w:asciiTheme="minorHAnsi" w:hAnsiTheme="minorHAnsi" w:cstheme="minorHAnsi"/>
                  <w:color w:val="FFFFFF" w:themeColor="background1"/>
                </w:rPr>
                <w:delText>Divízia 11 – Výroba nápojov</w:delText>
              </w:r>
            </w:del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12 – Výrobatabakových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Výrobakoksu a rafinovanýchropnýchproduktov</w:t>
            </w:r>
          </w:p>
          <w:p w:rsidR="00F64E2F" w:rsidRPr="00D41226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D41226" w:rsidDel="00DB0CE0" w:rsidRDefault="00F64E2F" w:rsidP="00F64E2F">
            <w:pPr>
              <w:spacing w:after="40"/>
              <w:ind w:left="255"/>
              <w:rPr>
                <w:del w:id="4" w:author="Radomír Talpáš" w:date="2021-05-11T15:19:00Z"/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Dodávkaelektriny, plynu, pary a studenéhovzduchu – celásekcianeoprávnená</w:t>
            </w:r>
            <w:bookmarkStart w:id="5" w:name="_GoBack"/>
            <w:bookmarkEnd w:id="5"/>
          </w:p>
          <w:p w:rsidR="00000000" w:rsidRDefault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  <w:u w:val="single"/>
                <w:lang w:val="sk-SK"/>
              </w:rPr>
            </w:pPr>
            <w:del w:id="6" w:author="Radomír Talpáš" w:date="2021-05-11T15:19:00Z">
              <w:r w:rsidRPr="004B763F" w:rsidDel="00DB0CE0">
                <w:rPr>
                  <w:rFonts w:asciiTheme="minorHAnsi" w:hAnsiTheme="minorHAnsi" w:cstheme="minorHAnsi"/>
                  <w:b/>
                  <w:bCs/>
                  <w:color w:val="FFFFFF" w:themeColor="background1"/>
                  <w:u w:val="single"/>
                  <w:lang w:val="sk-SK"/>
                </w:rPr>
                <w:delText>Sekcia I – Ubytovacie a stravovacie služby – celá sekcia neoprávnená</w:delText>
              </w:r>
            </w:del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U – Činnosti extrateritoriálnych organizácií a združení – celá sekcia neoprávnená</w:t>
            </w:r>
          </w:p>
          <w:p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:rsidR="00F64E2F" w:rsidRDefault="00F64E2F" w:rsidP="00757996">
            <w:pPr>
              <w:spacing w:after="40"/>
              <w:ind w:left="121"/>
              <w:rPr>
                <w:ins w:id="7" w:author="Čičmanec" w:date="2021-05-20T17:26:00Z"/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oblasťlesníctva, rybolovu a akvakultúry</w:t>
            </w:r>
            <w:del w:id="8" w:author="Čičmanec" w:date="2021-05-20T17:25:00Z">
              <w:r w:rsidRPr="008C0C85" w:rsidDel="00757996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delText>, vidieckeho cestovného ruchu a     potravinárstva</w:delText>
              </w:r>
            </w:del>
            <w:ins w:id="9" w:author="Čičmanec" w:date="2021-05-20T17:25:00Z">
              <w:r w:rsidR="00757996">
                <w:rPr>
                  <w:rFonts w:asciiTheme="minorHAnsi" w:hAnsiTheme="minorHAnsi" w:cstheme="minorHAnsi"/>
                  <w:b/>
                  <w:bCs/>
                  <w:color w:val="FFFFFF" w:themeColor="background1"/>
                </w:rPr>
                <w:t xml:space="preserve"> a poľnohospodárstva </w:t>
              </w:r>
            </w:ins>
          </w:p>
          <w:p w:rsidR="00757996" w:rsidRDefault="00757996" w:rsidP="00757996">
            <w:pPr>
              <w:spacing w:after="40"/>
              <w:ind w:left="121"/>
              <w:rPr>
                <w:ins w:id="10" w:author="Čičmanec" w:date="2021-05-20T17:26:00Z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:rsidR="00757996" w:rsidRDefault="00757996" w:rsidP="00757996">
            <w:pPr>
              <w:spacing w:after="40"/>
              <w:ind w:left="121"/>
              <w:rPr>
                <w:ins w:id="11" w:author="Čičmanec" w:date="2021-05-20T17:26:00Z"/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ins w:id="12" w:author="Čičmanec" w:date="2021-05-20T17:26:00Z">
              <w:r w:rsidRPr="00AE1F94">
                <w:rPr>
                  <w:rFonts w:asciiTheme="minorHAnsi" w:hAnsiTheme="minorHAnsi" w:cstheme="minorHAnsi"/>
                  <w:b/>
                  <w:bCs/>
                  <w:color w:val="FFFFFF" w:themeColor="background1"/>
                  <w:lang w:val="sk-SK"/>
                </w:rPr>
  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samostatné čestné vyhlásenie. Vnútorné vybavenie ubytovacích zariadení je neoprávneným výdavkom.</w:t>
              </w:r>
            </w:ins>
          </w:p>
          <w:p w:rsidR="00757996" w:rsidRPr="00773273" w:rsidRDefault="00757996" w:rsidP="0075799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:rsidR="00856D01" w:rsidRPr="009B0208" w:rsidRDefault="00856D01" w:rsidP="00773273">
            <w:pPr>
              <w:spacing w:before="40" w:after="40"/>
              <w:ind w:left="85"/>
              <w:cnfStyle w:val="00000000000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023 – Dopravnéprostriedky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nákupautomobilov a inýchdopravnýchprostriedkov</w:t>
            </w:r>
          </w:p>
          <w:p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:rsidR="00373C80" w:rsidRDefault="00373C80" w:rsidP="00373C80">
            <w:pPr>
              <w:pStyle w:val="Default"/>
              <w:widowControl w:val="0"/>
              <w:ind w:left="17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373C80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Nákupvozidiel cestnej nákladnej dopravy nie je oprávnený</w:t>
            </w:r>
            <w:r w:rsidR="00D41226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r w:rsidR="00D41226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Uvedenésatýkavýlučnežiadateľov, ktorípôsobia v oblasticestenejnákladnej dopravy. Nákupnákladnéhovozidlanaprepravumateriálu, alebotovaru pre účelyžiadateľa, tedaniezaúplatu pre tretiesubjekty je oprávnený.</w:t>
            </w:r>
          </w:p>
        </w:tc>
      </w:tr>
      <w:tr w:rsidR="00856D01" w:rsidRPr="009B0208" w:rsidTr="00114544">
        <w:trPr>
          <w:trHeight w:val="354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:rsidTr="00114544">
        <w:trPr>
          <w:trHeight w:val="246"/>
        </w:trPr>
        <w:tc>
          <w:tcPr>
            <w:cnfStyle w:val="00100000000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373C80" w:rsidRDefault="00856D01" w:rsidP="00373C80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:rsidR="00856D01" w:rsidRPr="00C1645F" w:rsidRDefault="00856D01" w:rsidP="004B5802">
      <w:pPr>
        <w:rPr>
          <w:rFonts w:asciiTheme="minorHAnsi" w:hAnsiTheme="minorHAnsi" w:cstheme="minorHAnsi"/>
        </w:rPr>
      </w:pPr>
    </w:p>
    <w:sectPr w:rsidR="00856D01" w:rsidRPr="00C1645F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832" w:rsidRDefault="00F94832" w:rsidP="007900C1">
      <w:r>
        <w:separator/>
      </w:r>
    </w:p>
  </w:endnote>
  <w:endnote w:type="continuationSeparator" w:id="1">
    <w:p w:rsidR="00F94832" w:rsidRDefault="00F94832" w:rsidP="00790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832" w:rsidRDefault="00F94832" w:rsidP="007900C1">
      <w:r>
        <w:separator/>
      </w:r>
    </w:p>
  </w:footnote>
  <w:footnote w:type="continuationSeparator" w:id="1">
    <w:p w:rsidR="00F94832" w:rsidRDefault="00F94832" w:rsidP="007900C1">
      <w:r>
        <w:continuationSeparator/>
      </w:r>
    </w:p>
  </w:footnote>
  <w:footnote w:id="2">
    <w:p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7F" w:rsidRDefault="003E5A7F" w:rsidP="003E5A7F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:rsidR="003E5A7F" w:rsidRDefault="003E5A7F" w:rsidP="003E5A7F">
    <w:pPr>
      <w:pStyle w:val="Hlavika"/>
      <w:tabs>
        <w:tab w:val="right" w:pos="14004"/>
      </w:tabs>
    </w:pPr>
  </w:p>
  <w:p w:rsidR="003E5A7F" w:rsidRDefault="003E5A7F" w:rsidP="003E5A7F">
    <w:pPr>
      <w:pStyle w:val="Hlavika"/>
      <w:tabs>
        <w:tab w:val="right" w:pos="14004"/>
      </w:tabs>
    </w:pPr>
  </w:p>
  <w:p w:rsidR="00A76425" w:rsidRPr="001B5DCB" w:rsidRDefault="003E5A7F" w:rsidP="003E5A7F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omír Talpáš">
    <w15:presenceInfo w15:providerId="AD" w15:userId="S-1-5-21-3134914673-4196435740-440330855-144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65996"/>
    <w:rsid w:val="000276CC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C2E26"/>
    <w:rsid w:val="000E52FF"/>
    <w:rsid w:val="00102EDB"/>
    <w:rsid w:val="00106314"/>
    <w:rsid w:val="00113C2C"/>
    <w:rsid w:val="00114544"/>
    <w:rsid w:val="001334FC"/>
    <w:rsid w:val="00163A76"/>
    <w:rsid w:val="001663AC"/>
    <w:rsid w:val="001770B0"/>
    <w:rsid w:val="001A66A4"/>
    <w:rsid w:val="001B4D56"/>
    <w:rsid w:val="001C297B"/>
    <w:rsid w:val="001F08C9"/>
    <w:rsid w:val="00222486"/>
    <w:rsid w:val="00224D63"/>
    <w:rsid w:val="00242EBE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73C80"/>
    <w:rsid w:val="003850A7"/>
    <w:rsid w:val="003A78DE"/>
    <w:rsid w:val="003D61B8"/>
    <w:rsid w:val="003E0C5A"/>
    <w:rsid w:val="003E5A7F"/>
    <w:rsid w:val="003F6B8D"/>
    <w:rsid w:val="00420279"/>
    <w:rsid w:val="004234C1"/>
    <w:rsid w:val="00437D96"/>
    <w:rsid w:val="00450361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1059B"/>
    <w:rsid w:val="005265E1"/>
    <w:rsid w:val="00545CDC"/>
    <w:rsid w:val="005A67D1"/>
    <w:rsid w:val="005E412A"/>
    <w:rsid w:val="00654C07"/>
    <w:rsid w:val="006C0D2C"/>
    <w:rsid w:val="006E0BA1"/>
    <w:rsid w:val="006E2C53"/>
    <w:rsid w:val="006F416A"/>
    <w:rsid w:val="00707EA7"/>
    <w:rsid w:val="007178B7"/>
    <w:rsid w:val="00722D6C"/>
    <w:rsid w:val="00732593"/>
    <w:rsid w:val="00757996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87513"/>
    <w:rsid w:val="00991D6C"/>
    <w:rsid w:val="009A1FA7"/>
    <w:rsid w:val="009A5787"/>
    <w:rsid w:val="009B0208"/>
    <w:rsid w:val="009D7016"/>
    <w:rsid w:val="009D7623"/>
    <w:rsid w:val="00A0441A"/>
    <w:rsid w:val="00A640A4"/>
    <w:rsid w:val="00A76425"/>
    <w:rsid w:val="00AD3328"/>
    <w:rsid w:val="00B0092A"/>
    <w:rsid w:val="00B113D3"/>
    <w:rsid w:val="00B24ED0"/>
    <w:rsid w:val="00B46148"/>
    <w:rsid w:val="00B505EC"/>
    <w:rsid w:val="00B73919"/>
    <w:rsid w:val="00B7415C"/>
    <w:rsid w:val="00B83214"/>
    <w:rsid w:val="00B97C29"/>
    <w:rsid w:val="00BA25DC"/>
    <w:rsid w:val="00BC6F27"/>
    <w:rsid w:val="00BD0B38"/>
    <w:rsid w:val="00BF6595"/>
    <w:rsid w:val="00C1645F"/>
    <w:rsid w:val="00C37F98"/>
    <w:rsid w:val="00C9650B"/>
    <w:rsid w:val="00CB1901"/>
    <w:rsid w:val="00CC2386"/>
    <w:rsid w:val="00CC4058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B0CE0"/>
    <w:rsid w:val="00DD6BA2"/>
    <w:rsid w:val="00DE407E"/>
    <w:rsid w:val="00E10467"/>
    <w:rsid w:val="00E20668"/>
    <w:rsid w:val="00E25773"/>
    <w:rsid w:val="00E64C0E"/>
    <w:rsid w:val="00EB0C9F"/>
    <w:rsid w:val="00ED21AB"/>
    <w:rsid w:val="00F050EA"/>
    <w:rsid w:val="00F0650A"/>
    <w:rsid w:val="00F246B5"/>
    <w:rsid w:val="00F64E2F"/>
    <w:rsid w:val="00F94832"/>
    <w:rsid w:val="00FA1257"/>
    <w:rsid w:val="00FC4269"/>
    <w:rsid w:val="00FC47FD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A20D7-1D94-48D1-A6DD-C0EF94E7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</dc:creator>
  <cp:lastModifiedBy>Čičmanec</cp:lastModifiedBy>
  <cp:revision>2</cp:revision>
  <dcterms:created xsi:type="dcterms:W3CDTF">2021-05-20T15:28:00Z</dcterms:created>
  <dcterms:modified xsi:type="dcterms:W3CDTF">2021-05-20T15:28:00Z</dcterms:modified>
</cp:coreProperties>
</file>