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  <w:bookmarkStart w:id="0" w:name="_GoBack"/>
      <w:bookmarkEnd w:id="0"/>
    </w:p>
    <w:p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1" w:name="_Ref494968963"/>
    </w:p>
    <w:bookmarkEnd w:id="1"/>
    <w:p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FB093B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BD3777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BD3777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MAGURA STRÁŽOV</w:t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4658F7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9A4967">
              <w:fldChar w:fldCharType="begin"/>
            </w:r>
            <w:r w:rsidR="009A4967">
              <w:instrText xml:space="preserve"> NOTEREF _Ref496436595 \h  \* MERGEFORMAT </w:instrText>
            </w:r>
            <w:r w:rsidR="009A496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FB093B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BD3777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D37031" w:rsidRDefault="00D37031">
      <w:pPr>
        <w:rPr>
          <w:rFonts w:cs="Arial"/>
          <w:b/>
          <w:color w:val="000000" w:themeColor="text1"/>
        </w:rPr>
      </w:pPr>
    </w:p>
    <w:p w:rsidR="00D37031" w:rsidRDefault="00D37031">
      <w:pPr>
        <w:rPr>
          <w:rFonts w:cs="Arial"/>
          <w:b/>
          <w:color w:val="000000" w:themeColor="text1"/>
        </w:rPr>
      </w:pP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615"/>
        <w:gridCol w:w="2323"/>
        <w:gridCol w:w="4601"/>
        <w:gridCol w:w="1500"/>
        <w:gridCol w:w="1573"/>
        <w:gridCol w:w="4754"/>
      </w:tblGrid>
      <w:tr w:rsidR="00D37031" w:rsidRPr="00522A25" w:rsidTr="000547AC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D37031" w:rsidRPr="00522A25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D37031" w:rsidRPr="00522A25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D37031" w:rsidRPr="00522A25" w:rsidRDefault="00D37031" w:rsidP="000547A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D37031" w:rsidRPr="00522A25" w:rsidRDefault="00D37031" w:rsidP="000547A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D37031" w:rsidRPr="00522A25" w:rsidRDefault="00D37031" w:rsidP="000547A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D37031" w:rsidRPr="00522A25" w:rsidRDefault="00D37031" w:rsidP="000547A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37031" w:rsidRPr="00334C9E" w:rsidTr="000547AC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  <w:color w:val="000000" w:themeColor="text1"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 programovou stratégiou IROP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. súlad s:</w:t>
            </w:r>
          </w:p>
          <w:p w:rsidR="00D37031" w:rsidRPr="001C5947" w:rsidRDefault="00D37031" w:rsidP="00D37031">
            <w:pPr>
              <w:pStyle w:val="Odsekzoznamu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Arial"/>
                <w:lang w:eastAsia="sk-SK"/>
              </w:rPr>
            </w:pPr>
            <w:proofErr w:type="spellStart"/>
            <w:r w:rsidRPr="001C5947">
              <w:rPr>
                <w:rFonts w:eastAsia="Times New Roman" w:cs="Arial"/>
                <w:lang w:eastAsia="sk-SK"/>
              </w:rPr>
              <w:t>očakávanými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výsledkami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>,</w:t>
            </w:r>
          </w:p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1C5947">
              <w:rPr>
                <w:rFonts w:eastAsia="Times New Roman" w:cs="Arial"/>
                <w:lang w:eastAsia="sk-SK"/>
              </w:rPr>
              <w:t>definovanými oprávnenými aktivitami.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 súlade s programovou stratégiou IROP.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 súlade s programovou stratégiou IROP.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2" w:name="_Hlk3235472"/>
            <w:r w:rsidRPr="009103CE">
              <w:t>2.</w:t>
            </w:r>
          </w:p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3CE">
              <w:t>Súlad projektu so stratégiou CLLD</w:t>
            </w:r>
          </w:p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9103CE">
              <w:t>Posudzuje sa súlad projektu so Stratégiou CLLD.</w:t>
            </w:r>
          </w:p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103CE">
              <w:t>Vylučujúce</w:t>
            </w:r>
          </w:p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9103CE"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103CE">
              <w:t>Zameranie projektu je v súlade so stratégiou CLLD.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9103CE"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9103CE">
              <w:t>Zameranie projektu nie je v súlade so stratégiou CLLD.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  <w:color w:val="000000" w:themeColor="text1"/>
              </w:rPr>
              <w:t>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Posúdenie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inovatívnosti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inovatívny charakter.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nemá inovatívny charakter.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  <w:color w:val="000000" w:themeColor="text1"/>
              </w:rPr>
              <w:t>4.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Vytvorenie pracovného miesta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Žiadateľ, ktorého výška NFP je nižšia ako 25 000 Eur, sa zaviazal vytvoriť minimálne 0,5 úväzkové pracovné miesto FTE.</w:t>
            </w:r>
          </w:p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Žiadateľ, ktorého výška NFP je vyššia alebo rovná 25 000 Eur, sa zaviazal vytvoriť minimálne 1 pracovné miesto FTE. pracovného miesta je 3 roky od ukončenia projektu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Žiadateľ, ktorého výška NFP je nižšia ako 25 000 Eur, sa nezaviazal vytvoriť minimálne 0,5 úväzkové pracovné miesto FTE.  </w:t>
            </w:r>
          </w:p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Žiadateľ, ktorého výška NFP je vyššia alebo rovná 25 000 Eur, sa nezaviazal vytvoriť minimálne 1 pracovné miesto FTE</w:t>
            </w:r>
          </w:p>
        </w:tc>
      </w:tr>
      <w:bookmarkEnd w:id="2"/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  <w:color w:val="000000" w:themeColor="text1"/>
              </w:rPr>
              <w:t>5.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Helvetica" w:hAnsiTheme="minorHAnsi" w:cs="Arial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Hodnota vytvoreného pracovného miesta</w:t>
            </w:r>
          </w:p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 hodnota vytvoreného pracovného miesta. Hodnota pracovného miesta sa vypočíta ako výška schváleného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 xml:space="preserve">príspevku k plánovanej hodnote merateľného ukazovateľa A104 </w:t>
            </w:r>
            <w:r w:rsidRPr="00C50348">
              <w:rPr>
                <w:rFonts w:asciiTheme="minorHAnsi" w:eastAsia="Times New Roman" w:hAnsiTheme="minorHAnsi" w:cs="Arial"/>
                <w:i/>
                <w:lang w:eastAsia="sk-SK"/>
              </w:rPr>
              <w:t>Počet vytvorených pracovných miest.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Ak je hodnota pracovného miesta FTE rovná alebo vyššia ako 50 000 EUR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Ak je hodnota pracovného miesta FTE nižšia ako 50 000 EUR a rovná alebo vyššia ako 25 000 Eur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8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Ak je hodnota pracovného miesta FTE nižšia ako 25 000 EUR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  <w:color w:val="000000" w:themeColor="text1"/>
              </w:rPr>
              <w:t>6.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Helvetica" w:hAnsiTheme="minorHAnsi" w:cs="Arial"/>
              </w:rPr>
            </w:pPr>
          </w:p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hAnsiTheme="minorHAnsi" w:cs="Arial"/>
              </w:rPr>
              <w:t>Projekt má dostatočnú pridanú hodnotu pre územie</w:t>
            </w:r>
          </w:p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</w:p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</w:p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</w:p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</w:p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</w:p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hAnsiTheme="minorHAnsi" w:cs="Arial"/>
              </w:rPr>
              <w:t>Vylučovacie kritérium</w:t>
            </w:r>
          </w:p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</w:p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</w:p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1C5947" w:rsidRDefault="00D37031" w:rsidP="000547AC">
            <w:pPr>
              <w:rPr>
                <w:rFonts w:asciiTheme="minorHAnsi" w:hAnsiTheme="minorHAnsi" w:cs="Arial"/>
                <w:szCs w:val="18"/>
              </w:rPr>
            </w:pPr>
          </w:p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1C5947">
              <w:rPr>
                <w:rFonts w:asciiTheme="minorHAnsi" w:hAnsiTheme="minorHAnsi" w:cs="Arial"/>
                <w:szCs w:val="18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1C5947">
              <w:rPr>
                <w:rFonts w:asciiTheme="minorHAnsi" w:hAnsiTheme="minorHAnsi" w:cs="Arial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sk-SK"/>
              </w:rPr>
            </w:pPr>
          </w:p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áno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1 bod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nie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Projekt má prínos pre jednu obec na území MAS.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Projekt má prínos pre tri a viac obcí na území MAS.</w:t>
            </w:r>
          </w:p>
        </w:tc>
      </w:tr>
      <w:tr w:rsidR="00D37031" w:rsidRPr="00334C9E" w:rsidTr="000547AC">
        <w:trPr>
          <w:trHeight w:val="152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4329B"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Projektom dosiahne žiadateľ nový výrobok pre firmu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na základe uznanej hodnoty merateľného ukazovateľa A101 Počet produktov, ktoré sú pre firmu nové.</w:t>
            </w:r>
          </w:p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 prípade, ak hodnotiteľ dospeje k záveru, že plánovaná hodnota nie je reálna túto hodnotu zníži.</w:t>
            </w:r>
          </w:p>
          <w:p w:rsidR="00D37031" w:rsidRPr="00334C9E" w:rsidRDefault="00D37031" w:rsidP="000547AC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V prípade zníženia na nulu,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nepredstaví nový výrobok pre firmu.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predstaví nový výrobok pre firmu</w:t>
            </w:r>
          </w:p>
        </w:tc>
      </w:tr>
      <w:tr w:rsidR="00D37031" w:rsidRPr="00334C9E" w:rsidTr="000547AC">
        <w:trPr>
          <w:trHeight w:val="148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Projektom dosiahne žiadateľ nový výrobok na trh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na základe uznanej hodnoty merateľného ukazovateľa A102 Počet produktov, ktoré sú pre trh nové.</w:t>
            </w:r>
          </w:p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V prípade, ak hodnotiteľ dospeje k záveru, že plánovaná hodnota nie je reálna túto hodnotu zníži.</w:t>
            </w:r>
          </w:p>
          <w:p w:rsidR="00D37031" w:rsidRPr="00334C9E" w:rsidRDefault="00D37031" w:rsidP="000547AC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V prípade zníženia na nulu,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nepredstaví nový výrobok pre trh</w:t>
            </w:r>
          </w:p>
        </w:tc>
      </w:tr>
      <w:tr w:rsidR="00D37031" w:rsidRPr="00334C9E" w:rsidTr="000547A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predstaví nový výrobok pre trh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37031" w:rsidRPr="00334C9E" w:rsidTr="000547A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  <w:color w:val="000000" w:themeColor="text1"/>
              </w:rPr>
              <w:t>11.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sa:</w:t>
            </w:r>
          </w:p>
          <w:p w:rsidR="00D37031" w:rsidRPr="001C5947" w:rsidRDefault="00D37031" w:rsidP="00D3703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Arial"/>
                <w:lang w:eastAsia="sk-SK"/>
              </w:rPr>
            </w:pPr>
            <w:proofErr w:type="spellStart"/>
            <w:r w:rsidRPr="001C5947">
              <w:rPr>
                <w:rFonts w:eastAsia="Times New Roman" w:cs="Arial"/>
                <w:lang w:eastAsia="sk-SK"/>
              </w:rPr>
              <w:t>či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aktivity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nadväzujú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na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východiskovú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situáciu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>,</w:t>
            </w:r>
          </w:p>
          <w:p w:rsidR="00D37031" w:rsidRPr="001C5947" w:rsidRDefault="00D37031" w:rsidP="00D3703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Arial"/>
                <w:lang w:eastAsia="sk-SK"/>
              </w:rPr>
            </w:pPr>
            <w:proofErr w:type="spellStart"/>
            <w:r w:rsidRPr="001C5947">
              <w:rPr>
                <w:rFonts w:eastAsia="Times New Roman" w:cs="Arial"/>
                <w:lang w:eastAsia="sk-SK"/>
              </w:rPr>
              <w:t>či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sú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dostatočne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zrozumiteľné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a je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zrejmé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,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čo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chce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žiadateľ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 xml:space="preserve"> </w:t>
            </w:r>
            <w:proofErr w:type="spellStart"/>
            <w:r w:rsidRPr="001C5947">
              <w:rPr>
                <w:rFonts w:eastAsia="Times New Roman" w:cs="Arial"/>
                <w:lang w:eastAsia="sk-SK"/>
              </w:rPr>
              <w:t>dosiahnuť</w:t>
            </w:r>
            <w:proofErr w:type="spellEnd"/>
            <w:r w:rsidRPr="001C5947">
              <w:rPr>
                <w:rFonts w:eastAsia="Times New Roman" w:cs="Arial"/>
                <w:lang w:eastAsia="sk-SK"/>
              </w:rPr>
              <w:t>,</w:t>
            </w:r>
          </w:p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1C5947">
              <w:rPr>
                <w:rFonts w:eastAsia="Times New Roman" w:cs="Arial"/>
                <w:lang w:eastAsia="sk-SK"/>
              </w:rPr>
              <w:t>či aktivity napĺňajú povinné merateľné ukazovatele.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37031" w:rsidRPr="00334C9E" w:rsidTr="000547A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37031" w:rsidRPr="00334C9E" w:rsidTr="000547AC">
        <w:trPr>
          <w:trHeight w:val="817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jc w:val="center"/>
              <w:rPr>
                <w:rFonts w:asciiTheme="minorHAnsi" w:hAnsiTheme="minorHAnsi" w:cs="Arial"/>
              </w:rPr>
            </w:pPr>
            <w:r w:rsidRPr="00A56DBE">
              <w:rPr>
                <w:rFonts w:cs="Arial"/>
              </w:rPr>
              <w:t>12.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sk-SK"/>
              </w:rPr>
            </w:pPr>
            <w:r w:rsidRPr="00A56DBE">
              <w:rPr>
                <w:rFonts w:asciiTheme="minorHAnsi" w:hAnsiTheme="minorHAnsi"/>
                <w:color w:val="auto"/>
                <w:sz w:val="22"/>
                <w:szCs w:val="22"/>
                <w:lang w:eastAsia="sk-SK"/>
              </w:rPr>
              <w:t>Znížená miera spolufinancovania projektu zo zdrojov príspevku.</w:t>
            </w:r>
          </w:p>
          <w:p w:rsidR="00D37031" w:rsidRPr="00A56DBE" w:rsidRDefault="00D37031" w:rsidP="000547AC">
            <w:pPr>
              <w:rPr>
                <w:rFonts w:asciiTheme="minorHAnsi" w:hAnsiTheme="minorHAnsi" w:cs="Arial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rPr>
                <w:rFonts w:asciiTheme="minorHAnsi" w:hAnsiTheme="minorHAnsi" w:cs="Arial"/>
              </w:rPr>
            </w:pPr>
            <w:r w:rsidRPr="00A56DBE">
              <w:rPr>
                <w:rFonts w:asciiTheme="minorHAnsi" w:eastAsia="Times New Roman" w:hAnsiTheme="minorHAnsi" w:cs="Arial"/>
                <w:lang w:eastAsia="sk-SK"/>
              </w:rPr>
              <w:t>Posudzuje sa na základe rozdielu medzi maximálnou mierou financovania oprávnených výdavkov projektu MAS z príspevku uvedenou vo výzve a žiadateľom požadovanou mierou financovania oprávnených výdavkov z príspevku.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jc w:val="center"/>
              <w:rPr>
                <w:rFonts w:asciiTheme="minorHAnsi" w:hAnsiTheme="minorHAnsi" w:cs="Arial"/>
              </w:rPr>
            </w:pPr>
            <w:r w:rsidRPr="00A56DBE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pPr>
              <w:jc w:val="center"/>
              <w:rPr>
                <w:rFonts w:asciiTheme="minorHAnsi" w:eastAsia="Helvetica" w:hAnsiTheme="minorHAnsi" w:cs="Arial"/>
              </w:rPr>
            </w:pPr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pPr>
              <w:rPr>
                <w:rFonts w:asciiTheme="minorHAnsi" w:eastAsia="Helvetica" w:hAnsiTheme="minorHAnsi" w:cs="Arial"/>
              </w:rPr>
            </w:pPr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</w:t>
            </w:r>
            <w:proofErr w:type="spellEnd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</w:tr>
      <w:tr w:rsidR="00D37031" w:rsidRPr="00334C9E" w:rsidTr="000547AC">
        <w:trPr>
          <w:trHeight w:val="55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jc w:val="center"/>
              <w:rPr>
                <w:rFonts w:cs="Arial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pPr>
              <w:jc w:val="center"/>
            </w:pPr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</w:t>
            </w:r>
            <w:proofErr w:type="spellEnd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.(vrátane)</w:t>
            </w:r>
          </w:p>
        </w:tc>
      </w:tr>
      <w:tr w:rsidR="00D37031" w:rsidRPr="00334C9E" w:rsidTr="000547AC">
        <w:trPr>
          <w:trHeight w:val="55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jc w:val="center"/>
              <w:rPr>
                <w:rFonts w:cs="Arial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A56DBE" w:rsidRDefault="00D37031" w:rsidP="000547AC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pPr>
              <w:jc w:val="center"/>
            </w:pPr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</w:t>
            </w:r>
            <w:proofErr w:type="spellEnd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(vrátane)</w:t>
            </w:r>
          </w:p>
        </w:tc>
      </w:tr>
      <w:tr w:rsidR="00D37031" w:rsidRPr="00334C9E" w:rsidTr="000547A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A56DBE" w:rsidRDefault="00D37031" w:rsidP="000547A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A56DBE" w:rsidRDefault="00D37031" w:rsidP="000547AC">
            <w:pPr>
              <w:rPr>
                <w:rFonts w:asciiTheme="minorHAnsi" w:hAnsiTheme="minorHAnsi" w:cs="Arial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A56DBE" w:rsidRDefault="00D37031" w:rsidP="000547AC">
            <w:pPr>
              <w:rPr>
                <w:rFonts w:asciiTheme="minorHAnsi" w:hAnsiTheme="minorHAnsi" w:cs="Arial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31" w:rsidRPr="00A56DBE" w:rsidRDefault="00D37031" w:rsidP="000547A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pPr>
              <w:jc w:val="center"/>
              <w:rPr>
                <w:rFonts w:asciiTheme="minorHAnsi" w:eastAsia="Helvetica" w:hAnsiTheme="minorHAnsi" w:cs="Arial"/>
              </w:rPr>
            </w:pPr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5B0DDC" w:rsidRDefault="00D37031" w:rsidP="000547AC">
            <w:pPr>
              <w:rPr>
                <w:rFonts w:asciiTheme="minorHAnsi" w:eastAsia="Helvetica" w:hAnsiTheme="minorHAnsi" w:cs="Arial"/>
              </w:rPr>
            </w:pPr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</w:t>
            </w:r>
            <w:proofErr w:type="spellEnd"/>
            <w:r w:rsidRPr="005B0DD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a viac</w:t>
            </w:r>
          </w:p>
        </w:tc>
      </w:tr>
      <w:tr w:rsidR="00D37031" w:rsidRPr="00334C9E" w:rsidTr="000547AC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37031" w:rsidRPr="00334C9E" w:rsidTr="000547A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7098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09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D37031" w:rsidRPr="00334C9E" w:rsidTr="000547A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Žiadateľ dokáže zabezpečiť potrebné technické zázemie alebo administratívne kapacity,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D37031" w:rsidRPr="00334C9E" w:rsidTr="000547AC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37031" w:rsidRPr="00334C9E" w:rsidRDefault="00D37031" w:rsidP="000547A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37031" w:rsidRPr="00334C9E" w:rsidTr="000547A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6111">
              <w:rPr>
                <w:rFonts w:asciiTheme="minorHAnsi" w:hAnsiTheme="minorHAnsi" w:cs="Arial"/>
                <w:color w:val="000000" w:themeColor="text1"/>
              </w:rPr>
              <w:t>1</w:t>
            </w:r>
            <w:r>
              <w:rPr>
                <w:rFonts w:asciiTheme="minorHAnsi" w:hAnsiTheme="minorHAnsi" w:cs="Arial"/>
                <w:color w:val="000000" w:themeColor="text1"/>
              </w:rPr>
              <w:t>4</w:t>
            </w:r>
            <w:r w:rsidRPr="00A06111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sa, či sú žiadané výdavky projektu:</w:t>
            </w:r>
          </w:p>
          <w:p w:rsidR="00D37031" w:rsidRPr="00C50348" w:rsidRDefault="00D37031" w:rsidP="00D37031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vecne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(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obsahovo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)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oprávnené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v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zmysle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podmienok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výzvy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,</w:t>
            </w:r>
          </w:p>
          <w:p w:rsidR="00D37031" w:rsidRPr="00C50348" w:rsidRDefault="00D37031" w:rsidP="00D37031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účelné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z 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hľadiska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predpokladu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naplnenia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stanovených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cieľov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,</w:t>
            </w:r>
          </w:p>
          <w:p w:rsidR="00D37031" w:rsidRPr="001C5947" w:rsidRDefault="00D37031" w:rsidP="00D37031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Arial"/>
                <w:lang w:eastAsia="sk-SK"/>
              </w:rPr>
            </w:pP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nevyhnutné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na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realizáciu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aktivít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  <w:proofErr w:type="spellEnd"/>
          </w:p>
          <w:p w:rsidR="00D37031" w:rsidRPr="00334C9E" w:rsidRDefault="00D37031" w:rsidP="000547A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D37031" w:rsidRPr="00334C9E" w:rsidTr="000547A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D37031" w:rsidRPr="00334C9E" w:rsidTr="000547A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6111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5</w:t>
            </w:r>
            <w:r w:rsidRPr="00A06111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. či zodpovedajú obvyklým cenám v danom mieste a čase. </w:t>
            </w:r>
          </w:p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Uvedené sa overuje prostredníctvom stanovených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benchmarkov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:rsidR="00D37031" w:rsidRPr="00334C9E" w:rsidRDefault="00D37031" w:rsidP="000547A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37031" w:rsidRPr="00334C9E" w:rsidTr="000547A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D37031" w:rsidRPr="00334C9E" w:rsidTr="000547A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6111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6</w:t>
            </w:r>
            <w:r w:rsidRPr="00A06111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</w:t>
            </w:r>
          </w:p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charakteristika</w:t>
            </w:r>
          </w:p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 prípade verejného sektora sa komplexne posudzujú ukazovatele likvidity a ukazovatele zadlženosti.</w:t>
            </w:r>
          </w:p>
          <w:p w:rsidR="00D37031" w:rsidRPr="00334C9E" w:rsidRDefault="00D37031" w:rsidP="000547A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 xml:space="preserve">V prípade súkromného sektora sa finančné zdravie posúdi na základe modelu hodnotenia firmy tzv.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Altmanov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nepriaznivou finančnou situáciou</w:t>
            </w:r>
          </w:p>
        </w:tc>
      </w:tr>
      <w:tr w:rsidR="00D37031" w:rsidRPr="00334C9E" w:rsidTr="000547AC">
        <w:trPr>
          <w:trHeight w:val="15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neurčitou finančnou situáciou</w:t>
            </w:r>
          </w:p>
        </w:tc>
      </w:tr>
      <w:tr w:rsidR="00D37031" w:rsidRPr="00334C9E" w:rsidTr="000547A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8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dobrou finančnou situáciou</w:t>
            </w:r>
          </w:p>
        </w:tc>
      </w:tr>
      <w:tr w:rsidR="00D37031" w:rsidRPr="00334C9E" w:rsidTr="000547A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17</w:t>
            </w:r>
            <w:r w:rsidRPr="00A06111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C50348" w:rsidRDefault="00D37031" w:rsidP="000547AC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</w:p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 zabezpečenie udržateľnosti projektu,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 je zabezpečená.</w:t>
            </w:r>
          </w:p>
        </w:tc>
      </w:tr>
      <w:tr w:rsidR="00D37031" w:rsidRPr="00334C9E" w:rsidTr="000547A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1" w:rsidRPr="00334C9E" w:rsidRDefault="00D37031" w:rsidP="000547A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5B0DDC">
              <w:rPr>
                <w:rFonts w:asciiTheme="minorHAnsi" w:eastAsia="Times New Roman" w:hAnsiTheme="minorHAnsi" w:cs="Arial"/>
                <w:lang w:eastAsia="sk-SK"/>
              </w:rPr>
              <w:t>Finančná udržateľnosť nie je zabezpečená.</w:t>
            </w:r>
          </w:p>
        </w:tc>
      </w:tr>
    </w:tbl>
    <w:p w:rsidR="00D37031" w:rsidRDefault="00D37031">
      <w:pPr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9459EB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p w:rsidR="00DD1884" w:rsidRDefault="00DD1884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DD1884" w:rsidRPr="00334C9E" w:rsidTr="000547A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DD1884" w:rsidRPr="00334C9E" w:rsidTr="000547AC">
        <w:trPr>
          <w:trHeight w:val="9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Vylučujúce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Posúdenie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inovatívnosti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Vytvorenie pracovného miesta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7A7F7A" w:rsidRDefault="00DD1884" w:rsidP="000547AC">
            <w:pPr>
              <w:rPr>
                <w:rFonts w:asciiTheme="minorHAnsi" w:eastAsia="Helvetica" w:hAnsiTheme="minorHAnsi" w:cs="Arial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Hodnota vytvoreného pracovného miesta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0-4-8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7A7F7A" w:rsidRDefault="00DD1884" w:rsidP="000547AC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hAnsiTheme="minorHAnsi" w:cs="Arial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0-2-4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Projektom dosiahne žiadateľ nový výrobok pre firmu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DD1884" w:rsidRPr="00334C9E" w:rsidTr="000547AC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Projektom dosiahne žiadateľ nový výrobok na trh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DD1884" w:rsidRPr="00334C9E" w:rsidTr="000547AC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137BC3" w:rsidP="000547A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21</w:t>
            </w:r>
          </w:p>
        </w:tc>
      </w:tr>
      <w:tr w:rsidR="00DD1884" w:rsidRPr="00334C9E" w:rsidTr="000547AC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D1884" w:rsidRPr="00334C9E" w:rsidTr="000547AC">
        <w:trPr>
          <w:trHeight w:val="25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Znížená miera spolufinancovania projektu zo zdrojov príspevku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DD188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0-1-3-5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DD1884" w:rsidRPr="00334C9E" w:rsidTr="000547AC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137BC3" w:rsidP="000547A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DD1884" w:rsidRPr="00334C9E" w:rsidTr="000547AC">
        <w:trPr>
          <w:trHeight w:val="54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DD1884" w:rsidRPr="00334C9E" w:rsidTr="000547AC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137BC3" w:rsidRDefault="00137BC3" w:rsidP="000547A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37BC3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DD1884" w:rsidRPr="00334C9E" w:rsidTr="000547AC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D1884" w:rsidRPr="00334C9E" w:rsidTr="000547AC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D1884" w:rsidRPr="00334C9E" w:rsidTr="000547AC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charakteristika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0-4-8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DD1884" w:rsidRPr="00334C9E" w:rsidTr="000547AC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D1884" w:rsidRPr="00334C9E" w:rsidTr="00137BC3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137BC3" w:rsidP="000547A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  <w:tr w:rsidR="00137BC3" w:rsidRPr="00334C9E" w:rsidTr="00137BC3">
        <w:trPr>
          <w:trHeight w:val="219"/>
        </w:trPr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137BC3" w:rsidRPr="00334C9E" w:rsidRDefault="00137BC3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137BC3" w:rsidRPr="00334C9E" w:rsidRDefault="00137BC3" w:rsidP="000547A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137BC3" w:rsidRPr="00334C9E" w:rsidRDefault="00137BC3" w:rsidP="000547AC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37BC3" w:rsidRDefault="00137BC3" w:rsidP="000547AC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36</w:t>
            </w:r>
          </w:p>
        </w:tc>
      </w:tr>
    </w:tbl>
    <w:p w:rsidR="00DD1884" w:rsidRDefault="00DD1884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D1884" w:rsidRPr="00334C9E" w:rsidRDefault="00DD1884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:rsidR="00AD4FD2" w:rsidRDefault="00340A2A" w:rsidP="00137BC3">
      <w:pPr>
        <w:spacing w:after="120"/>
        <w:jc w:val="both"/>
        <w:rPr>
          <w:rFonts w:cs="Arial"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DD1884">
        <w:rPr>
          <w:rFonts w:cs="Arial"/>
          <w:b/>
          <w:color w:val="000000" w:themeColor="text1"/>
        </w:rPr>
        <w:t>22 bodov</w:t>
      </w:r>
      <w:r w:rsidR="00AD4FD2">
        <w:rPr>
          <w:rFonts w:cs="Arial"/>
          <w:color w:val="000000" w:themeColor="text1"/>
        </w:rPr>
        <w:br w:type="page"/>
      </w:r>
    </w:p>
    <w:p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FB093B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BD3777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BD3777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MAGURA STRÁŽOV</w:t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FB093B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BD3777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="00086385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="00086385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3544"/>
        <w:gridCol w:w="3157"/>
        <w:gridCol w:w="4781"/>
      </w:tblGrid>
      <w:tr w:rsidR="00086385" w:rsidRPr="005F66B1" w:rsidTr="00262BF2">
        <w:tc>
          <w:tcPr>
            <w:tcW w:w="3402" w:type="dxa"/>
            <w:shd w:val="clear" w:color="auto" w:fill="5B9BD5" w:themeFill="accent1"/>
          </w:tcPr>
          <w:p w:rsidR="00086385" w:rsidRPr="005F66B1" w:rsidRDefault="00086385" w:rsidP="00262BF2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Hlavná aktivita</w:t>
            </w:r>
          </w:p>
        </w:tc>
        <w:tc>
          <w:tcPr>
            <w:tcW w:w="3544" w:type="dxa"/>
            <w:shd w:val="clear" w:color="auto" w:fill="5B9BD5" w:themeFill="accent1"/>
          </w:tcPr>
          <w:p w:rsidR="00086385" w:rsidRPr="005F66B1" w:rsidRDefault="00086385" w:rsidP="00262BF2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Ukazovateľ na úrovni projektu</w:t>
            </w:r>
          </w:p>
        </w:tc>
        <w:tc>
          <w:tcPr>
            <w:tcW w:w="3157" w:type="dxa"/>
            <w:shd w:val="clear" w:color="auto" w:fill="5B9BD5" w:themeFill="accent1"/>
          </w:tcPr>
          <w:p w:rsidR="00086385" w:rsidRPr="005F66B1" w:rsidRDefault="00086385" w:rsidP="00262BF2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Merná jednotka ukazovateľa</w:t>
            </w:r>
          </w:p>
        </w:tc>
        <w:tc>
          <w:tcPr>
            <w:tcW w:w="4781" w:type="dxa"/>
            <w:shd w:val="clear" w:color="auto" w:fill="5B9BD5" w:themeFill="accent1"/>
          </w:tcPr>
          <w:p w:rsidR="00086385" w:rsidRPr="005F66B1" w:rsidRDefault="00086385" w:rsidP="00262BF2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Spôsob výpočtu</w:t>
            </w:r>
          </w:p>
        </w:tc>
      </w:tr>
      <w:tr w:rsidR="00086385" w:rsidRPr="00F156CB" w:rsidTr="00262BF2">
        <w:tc>
          <w:tcPr>
            <w:tcW w:w="3402" w:type="dxa"/>
            <w:vAlign w:val="center"/>
          </w:tcPr>
          <w:p w:rsidR="00086385" w:rsidRPr="00F156CB" w:rsidRDefault="00086385" w:rsidP="00262BF2">
            <w:pPr>
              <w:jc w:val="both"/>
            </w:pPr>
            <w:r>
              <w:t xml:space="preserve">A.1 </w:t>
            </w:r>
            <w:r w:rsidRPr="00F156CB">
              <w:t>Podpora podnikania a inovácií</w:t>
            </w:r>
          </w:p>
        </w:tc>
        <w:tc>
          <w:tcPr>
            <w:tcW w:w="3544" w:type="dxa"/>
            <w:vAlign w:val="center"/>
          </w:tcPr>
          <w:p w:rsidR="00086385" w:rsidRDefault="00086385" w:rsidP="00262BF2">
            <w:pPr>
              <w:jc w:val="center"/>
            </w:pPr>
            <w:r w:rsidRPr="00F156CB">
              <w:t>A104 Počet vytvorených</w:t>
            </w:r>
          </w:p>
          <w:p w:rsidR="00086385" w:rsidRPr="00F156CB" w:rsidRDefault="00086385" w:rsidP="00262BF2">
            <w:pPr>
              <w:jc w:val="center"/>
            </w:pPr>
            <w:r>
              <w:t>pracovných miest</w:t>
            </w:r>
          </w:p>
        </w:tc>
        <w:tc>
          <w:tcPr>
            <w:tcW w:w="3157" w:type="dxa"/>
            <w:vAlign w:val="center"/>
          </w:tcPr>
          <w:p w:rsidR="00086385" w:rsidRPr="00F156CB" w:rsidRDefault="00086385" w:rsidP="00262BF2">
            <w:pPr>
              <w:jc w:val="center"/>
            </w:pPr>
            <w:r w:rsidRPr="00F156CB">
              <w:t>FTE</w:t>
            </w:r>
          </w:p>
        </w:tc>
        <w:tc>
          <w:tcPr>
            <w:tcW w:w="4781" w:type="dxa"/>
            <w:vAlign w:val="center"/>
          </w:tcPr>
          <w:p w:rsidR="00086385" w:rsidRDefault="00086385" w:rsidP="00262BF2">
            <w:pPr>
              <w:jc w:val="center"/>
            </w:pPr>
            <w:r w:rsidRPr="00F156CB">
              <w:t xml:space="preserve">výška príspevku v EUR na hlavnú </w:t>
            </w:r>
          </w:p>
          <w:p w:rsidR="00086385" w:rsidRPr="00F156CB" w:rsidRDefault="00086385" w:rsidP="00262BF2">
            <w:pPr>
              <w:jc w:val="center"/>
            </w:pPr>
            <w:r w:rsidRPr="00F156CB">
              <w:t>aktivitu projektu / FTE</w:t>
            </w:r>
          </w:p>
        </w:tc>
      </w:tr>
    </w:tbl>
    <w:p w:rsidR="00086385" w:rsidRPr="00086385" w:rsidRDefault="00086385" w:rsidP="00086385">
      <w:pPr>
        <w:jc w:val="both"/>
      </w:pPr>
    </w:p>
    <w:p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="00BD3777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="00526F9F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="00526F9F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="00526F9F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="00526F9F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="00BD3777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proofErr w:type="gramStart"/>
      <w:r w:rsidRPr="00A654E1">
        <w:rPr>
          <w:rFonts w:asciiTheme="minorHAnsi" w:hAnsiTheme="minorHAnsi"/>
        </w:rPr>
        <w:t>sa</w:t>
      </w:r>
      <w:proofErr w:type="spellEnd"/>
      <w:proofErr w:type="gram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hranicia</w:t>
      </w:r>
      <w:proofErr w:type="spellEnd"/>
      <w:r w:rsidR="003203D6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lokácie</w:t>
      </w:r>
      <w:proofErr w:type="spellEnd"/>
      <w:r w:rsidRPr="00A654E1">
        <w:rPr>
          <w:rFonts w:asciiTheme="minorHAnsi" w:hAnsiTheme="minorHAnsi"/>
        </w:rPr>
        <w:t>.</w:t>
      </w:r>
      <w:r w:rsidR="003203D6">
        <w:rPr>
          <w:rFonts w:ascii="Arial" w:hAnsi="Arial" w:cs="Arial"/>
          <w:sz w:val="20"/>
          <w:szCs w:val="20"/>
        </w:rPr>
        <w:t xml:space="preserve"> T</w:t>
      </w:r>
      <w:r w:rsidR="004938B3" w:rsidRPr="008E3991">
        <w:rPr>
          <w:rFonts w:ascii="Arial" w:hAnsi="Arial" w:cs="Arial"/>
          <w:sz w:val="20"/>
          <w:szCs w:val="20"/>
        </w:rPr>
        <w:t xml:space="preserve">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3203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3203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3203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3B" w:rsidRDefault="00FB093B" w:rsidP="006447D5">
      <w:pPr>
        <w:spacing w:after="0" w:line="240" w:lineRule="auto"/>
      </w:pPr>
      <w:r>
        <w:separator/>
      </w:r>
    </w:p>
  </w:endnote>
  <w:endnote w:type="continuationSeparator" w:id="0">
    <w:p w:rsidR="00FB093B" w:rsidRDefault="00FB093B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14" w:rsidRDefault="00526F9F" w:rsidP="00041014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1700" cy="41275"/>
              <wp:effectExtent l="0" t="0" r="0" b="15875"/>
              <wp:wrapNone/>
              <wp:docPr id="13" name="Rovná spojnic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791700" cy="4127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B9FC4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" strokecolor="#8496b0 [1951]" strokeweight="1.5pt">
              <v:stroke joinstyle="miter"/>
              <o:lock v:ext="edit" shapetype="f"/>
            </v:line>
          </w:pict>
        </mc:Fallback>
      </mc:AlternateContent>
    </w:r>
  </w:p>
  <w:p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393D57">
          <w:fldChar w:fldCharType="begin"/>
        </w:r>
        <w:r>
          <w:instrText>PAGE   \* MERGEFORMAT</w:instrText>
        </w:r>
        <w:r w:rsidR="00393D57">
          <w:fldChar w:fldCharType="separate"/>
        </w:r>
        <w:r w:rsidR="00F724FE">
          <w:rPr>
            <w:noProof/>
          </w:rPr>
          <w:t>1</w:t>
        </w:r>
        <w:r w:rsidR="00393D5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3B" w:rsidRDefault="00FB093B" w:rsidP="006447D5">
      <w:pPr>
        <w:spacing w:after="0" w:line="240" w:lineRule="auto"/>
      </w:pPr>
      <w:r>
        <w:separator/>
      </w:r>
    </w:p>
  </w:footnote>
  <w:footnote w:type="continuationSeparator" w:id="0">
    <w:p w:rsidR="00FB093B" w:rsidRDefault="00FB093B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3D" w:rsidRPr="001F013A" w:rsidRDefault="0084101B" w:rsidP="001D5D3D">
    <w:pPr>
      <w:pStyle w:val="Hlavika"/>
      <w:rPr>
        <w:rFonts w:ascii="Arial Narrow" w:hAnsi="Arial Narrow"/>
        <w:sz w:val="20"/>
      </w:rPr>
    </w:pPr>
    <w:r w:rsidRPr="0084101B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148442</wp:posOffset>
          </wp:positionH>
          <wp:positionV relativeFrom="paragraph">
            <wp:posOffset>-289865</wp:posOffset>
          </wp:positionV>
          <wp:extent cx="1294410" cy="795647"/>
          <wp:effectExtent l="0" t="0" r="0" b="0"/>
          <wp:wrapNone/>
          <wp:docPr id="1" name="Obrázok 1" descr="C:\Users\Drevil\AppData\Local\Temp\Rar$DRa5092.20342\LOGO oficialn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evil\AppData\Local\Temp\Rar$DRa5092.20342\LOGO oficialne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410" cy="795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-41910</wp:posOffset>
          </wp:positionV>
          <wp:extent cx="1626870" cy="427355"/>
          <wp:effectExtent l="19050" t="0" r="0" b="0"/>
          <wp:wrapNone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F9F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90805</wp:posOffset>
              </wp:positionH>
              <wp:positionV relativeFrom="paragraph">
                <wp:posOffset>-1116965</wp:posOffset>
              </wp:positionV>
              <wp:extent cx="10040620" cy="27940"/>
              <wp:effectExtent l="0" t="0" r="17780" b="1016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3FDEC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" strokecolor="#8496b0 [1951]" strokeweight="1.5pt">
              <v:stroke joinstyle="miter"/>
              <o:lock v:ext="edit" shapetype="f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602"/>
    <w:multiLevelType w:val="hybridMultilevel"/>
    <w:tmpl w:val="3C12E0D6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D6829"/>
    <w:multiLevelType w:val="hybridMultilevel"/>
    <w:tmpl w:val="53E87CFA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A3BBC"/>
    <w:multiLevelType w:val="hybridMultilevel"/>
    <w:tmpl w:val="A66C1AB2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3796B"/>
    <w:multiLevelType w:val="hybridMultilevel"/>
    <w:tmpl w:val="8114608E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8"/>
  </w:num>
  <w:num w:numId="5">
    <w:abstractNumId w:val="29"/>
  </w:num>
  <w:num w:numId="6">
    <w:abstractNumId w:val="7"/>
  </w:num>
  <w:num w:numId="7">
    <w:abstractNumId w:val="25"/>
  </w:num>
  <w:num w:numId="8">
    <w:abstractNumId w:val="13"/>
  </w:num>
  <w:num w:numId="9">
    <w:abstractNumId w:val="14"/>
  </w:num>
  <w:num w:numId="10">
    <w:abstractNumId w:val="4"/>
  </w:num>
  <w:num w:numId="11">
    <w:abstractNumId w:val="18"/>
  </w:num>
  <w:num w:numId="12">
    <w:abstractNumId w:val="16"/>
  </w:num>
  <w:num w:numId="13">
    <w:abstractNumId w:val="24"/>
  </w:num>
  <w:num w:numId="14">
    <w:abstractNumId w:val="20"/>
  </w:num>
  <w:num w:numId="15">
    <w:abstractNumId w:val="15"/>
  </w:num>
  <w:num w:numId="16">
    <w:abstractNumId w:val="10"/>
  </w:num>
  <w:num w:numId="17">
    <w:abstractNumId w:val="19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2"/>
  </w:num>
  <w:num w:numId="23">
    <w:abstractNumId w:val="6"/>
  </w:num>
  <w:num w:numId="24">
    <w:abstractNumId w:val="32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31"/>
  </w:num>
  <w:num w:numId="31">
    <w:abstractNumId w:val="12"/>
  </w:num>
  <w:num w:numId="32">
    <w:abstractNumId w:val="11"/>
  </w:num>
  <w:num w:numId="33">
    <w:abstractNumId w:val="9"/>
  </w:num>
  <w:num w:numId="34">
    <w:abstractNumId w:val="30"/>
  </w:num>
  <w:num w:numId="35">
    <w:abstractNumId w:val="2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77BDB"/>
    <w:rsid w:val="0008016F"/>
    <w:rsid w:val="00086385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37BC3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AB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03D6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57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58F7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6F9F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C23B4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278B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578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1B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2734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3DA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57D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4967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178E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12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777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D6C55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7031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A7A3D"/>
    <w:rsid w:val="00DB1549"/>
    <w:rsid w:val="00DB24DE"/>
    <w:rsid w:val="00DB363E"/>
    <w:rsid w:val="00DB3E61"/>
    <w:rsid w:val="00DC153C"/>
    <w:rsid w:val="00DD1884"/>
    <w:rsid w:val="00DD7D77"/>
    <w:rsid w:val="00DE148F"/>
    <w:rsid w:val="00DE59DF"/>
    <w:rsid w:val="00DF1CA4"/>
    <w:rsid w:val="00DF5BD9"/>
    <w:rsid w:val="00DF6D25"/>
    <w:rsid w:val="00E05F86"/>
    <w:rsid w:val="00E060A8"/>
    <w:rsid w:val="00E0681E"/>
    <w:rsid w:val="00E07EAA"/>
    <w:rsid w:val="00E12F9F"/>
    <w:rsid w:val="00E137A5"/>
    <w:rsid w:val="00E210A6"/>
    <w:rsid w:val="00E24E29"/>
    <w:rsid w:val="00E3096A"/>
    <w:rsid w:val="00E333D3"/>
    <w:rsid w:val="00E34ED0"/>
    <w:rsid w:val="00E41416"/>
    <w:rsid w:val="00E425C3"/>
    <w:rsid w:val="00E47D7E"/>
    <w:rsid w:val="00E5263D"/>
    <w:rsid w:val="00E548C7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24FE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093B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AB4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74A2"/>
    <w:rsid w:val="00084AE9"/>
    <w:rsid w:val="00163B11"/>
    <w:rsid w:val="001C7969"/>
    <w:rsid w:val="00212C3B"/>
    <w:rsid w:val="00482735"/>
    <w:rsid w:val="00487A44"/>
    <w:rsid w:val="005A4146"/>
    <w:rsid w:val="006B3B1E"/>
    <w:rsid w:val="009C5A48"/>
    <w:rsid w:val="00AD089D"/>
    <w:rsid w:val="00B20F1E"/>
    <w:rsid w:val="00B874A2"/>
    <w:rsid w:val="00D7536B"/>
    <w:rsid w:val="00E56820"/>
    <w:rsid w:val="00EA7464"/>
    <w:rsid w:val="00F6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A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070D-4A9A-434F-A73C-77C157A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2021-01-22T08:48:00Z</dcterms:created>
  <dcterms:modified xsi:type="dcterms:W3CDTF">2021-01-22T09:36:00Z</dcterms:modified>
</cp:coreProperties>
</file>