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:rsidTr="00CA32E4">
        <w:trPr>
          <w:trHeight w:val="308"/>
        </w:trPr>
        <w:tc>
          <w:tcPr>
            <w:tcW w:w="9781" w:type="dxa"/>
            <w:shd w:val="clear" w:color="auto" w:fill="FFFFFF"/>
          </w:tcPr>
          <w:p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:rsidTr="00A93ACE">
        <w:trPr>
          <w:trHeight w:val="2685"/>
        </w:trPr>
        <w:tc>
          <w:tcPr>
            <w:tcW w:w="9781" w:type="dxa"/>
          </w:tcPr>
          <w:p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  <w:bookmarkStart w:id="0" w:name="_GoBack"/>
            <w:bookmarkEnd w:id="0"/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  <w:lang w:eastAsia="x-none"/>
              </w:rPr>
              <w:t>hodntoy</w:t>
            </w:r>
            <w:proofErr w:type="spellEnd"/>
            <w:r>
              <w:rPr>
                <w:rFonts w:cs="Calibri"/>
                <w:color w:val="000000"/>
                <w:lang w:eastAsia="x-none"/>
              </w:rPr>
              <w:t xml:space="preserve">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lastRenderedPageBreak/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  <w:lang w:eastAsia="x-none"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  <w:lang w:eastAsia="x-none"/>
              </w:rPr>
              <w:t xml:space="preserve">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:rsidR="00E723DB" w:rsidRPr="00466F14" w:rsidRDefault="00E723DB">
      <w:pPr>
        <w:rPr>
          <w:rFonts w:cs="Calibri"/>
        </w:rPr>
      </w:pPr>
    </w:p>
    <w:sectPr w:rsidR="00E723DB" w:rsidRPr="00466F1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DC" w:rsidRDefault="00503CDC" w:rsidP="00CA32E4">
      <w:pPr>
        <w:spacing w:after="0" w:line="240" w:lineRule="auto"/>
      </w:pPr>
      <w:r>
        <w:separator/>
      </w:r>
    </w:p>
  </w:endnote>
  <w:endnote w:type="continuationSeparator" w:id="0">
    <w:p w:rsidR="00503CDC" w:rsidRDefault="00503CDC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DC" w:rsidRDefault="00503CDC" w:rsidP="00CA32E4">
      <w:pPr>
        <w:spacing w:after="0" w:line="240" w:lineRule="auto"/>
      </w:pPr>
      <w:r>
        <w:separator/>
      </w:r>
    </w:p>
  </w:footnote>
  <w:footnote w:type="continuationSeparator" w:id="0">
    <w:p w:rsidR="00503CDC" w:rsidRDefault="00503CDC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E4" w:rsidRDefault="003511E4" w:rsidP="003511E4">
    <w:pPr>
      <w:pStyle w:val="Hlavika"/>
      <w:jc w:val="right"/>
    </w:pPr>
    <w:r>
      <w:t xml:space="preserve">Príloha </w:t>
    </w:r>
    <w:r w:rsidR="00D318F9">
      <w:t>8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350F65"/>
    <w:rsid w:val="003511E4"/>
    <w:rsid w:val="004215E6"/>
    <w:rsid w:val="00466F14"/>
    <w:rsid w:val="004B2702"/>
    <w:rsid w:val="00503CDC"/>
    <w:rsid w:val="005A2D87"/>
    <w:rsid w:val="00667CD1"/>
    <w:rsid w:val="00700054"/>
    <w:rsid w:val="00715C4D"/>
    <w:rsid w:val="00972BD8"/>
    <w:rsid w:val="00A93ACE"/>
    <w:rsid w:val="00B7488D"/>
    <w:rsid w:val="00C90D29"/>
    <w:rsid w:val="00CA32E4"/>
    <w:rsid w:val="00CC0AED"/>
    <w:rsid w:val="00CF766D"/>
    <w:rsid w:val="00D318F9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6E7A1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Húšťava Filip</cp:lastModifiedBy>
  <cp:revision>5</cp:revision>
  <dcterms:created xsi:type="dcterms:W3CDTF">2019-06-11T20:06:00Z</dcterms:created>
  <dcterms:modified xsi:type="dcterms:W3CDTF">2021-01-08T12:18:00Z</dcterms:modified>
</cp:coreProperties>
</file>